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Objaśnienia do pytań w ankiecie: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Pytanie 1, 2,5 i 6: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ab/>
        <w:t xml:space="preserve"> Służą do wstępnego określenia grupy docelowej naszego rozwiązania. Służą też do odrzucenia z wyników ankiety odpowiedzi których udzieliła osoba nie będąca w żaden sposób zainteresowana legalnością jej oprogramowania.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Dzięki pytaniu 1 dowiemy się z jak bardzo techniczną osobą mamy do czynienia.</w:t>
        <w:br w:type="textWrapping"/>
        <w:t xml:space="preserve">a) Typowym użytkownikiem któremu techniczne zagadnienia i wyjaśnienia bardziej przeszkadzają niż ułatwiają życie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b) Osobie która ma pewne pojęcia na temat pracy komputera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c) Osobie której do zrozumienia rozwiązania problemu (jakiekolwiek by ono nie było) wystarczy dokumentacja techniczna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Dzięki pytaniu 2 dowiemy się (w przypadku konkretnych rozwiązań technicznych) w jakim środowisku nasze rozwiązanie ma działać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Dzięki pytaniu 5 Dowiemy się czy osoba jest zainteresowana legalnością całego jej komputera.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Dzięki pytaniu 6 dowiemy się czy osoba jest zainteresowana śledzeniem ważności licencji jednej lub kilku aplikacji których legalność jej dla danej osoby kluczowa.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Pytania 3 i 4: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Służa do oceny tego czy dana osoba posiada wiedzę na temat programów zainstalowanych na jej komputerze. W przypadku kiedy ankietowani nie posiadają takiej wiedzy a są zainteresowani legalnością całego komputera problemem jest monitorowanie legalności wszystkich aplikacji które są zainstalowane na komputerze.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Pytanie 7: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Służy do sprawdzenia jaka część osób spośród ankietowanych ma problem ze zrozumieniem licencji których legalność jest dla nich ważna. Ten problem może się okazać trudny do rozwiązania ale w przypadku kiedy inne potencjalne problemu zostaną odrzucone będziemy mogli się na nim skupić.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Pytania 8 i 10,: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Służą do sprawdzenia czy problemem jest zbyt duża fragmentacja danych.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Pytanie 9: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Służy do sprawdzenia czy problemem jest brak narzędzi służących do pozyskiwania informacji na temat ważności licencji. Ten problem może się okazać w całości trudny do rozwiązania z technicznego punktu widzenia ale prawdopodobnie jesteśmy w stanie rozwiązać jego część.</w:t>
      </w:r>
    </w:p>
    <w:sectPr>
      <w:pgSz w:h="15840" w:w="12240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l-P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