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3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jc w:val="left"/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28-03-2018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ANALYSIS OF INTERVIEWS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specified the reason for doing the interviews. We presented the results of interviews to supervisors and got tips how to better organize them.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categorise the answers from the interviews, for example, graphically to find correlations between answers.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PECHA KUCHA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supervisors told us what should be present in the Pecha Kucha. We received information about what we should do to better prepare it.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also discussed what we should expect during the presentation.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need to make a SWOT analysis, think about our name, mission and logo, and have through knowledge of our problem.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SURVEYS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were given tips on creating and analysing surveys.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create the survey using the interviews, we made earlier, as a base. When analysing the surveys we should focus on results that are the most surprising.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876300</wp:posOffset>
              </wp:positionV>
              <wp:extent cx="631446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876300</wp:posOffset>
              </wp:positionV>
              <wp:extent cx="631446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446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