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3znysh7" w:id="3"/>
    <w:bookmarkEnd w:id="3"/>
    <w:tbl>
      <w:tblPr>
        <w:tblStyle w:val="Table1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56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 7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8.05.2018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11:00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4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 meeting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Aleksander Bobiński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Patryk Chodorowski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Features of the 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features which should be included in our final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can use an external licences parser. If we would have the time necessary to do it we could try to implement it ourselves.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main parts of our solution will be some kind of GUI, software finder and some kind of database for it. We created a sample diagram of modules and their connections.</w:t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Potential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potential problems which we may encounter during our work on the 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definitely have to worry if we will have enough time to complete the solution, especially if we want to implement the licence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parser.</w:t>
            </w:r>
          </w:p>
        </w:tc>
      </w:tr>
    </w:tbl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Layout w:type="fixed"/>
        <w:tblLook w:val="0000"/>
      </w:tblPr>
      <w:tblGrid>
        <w:gridCol w:w="1449"/>
        <w:gridCol w:w="4700"/>
        <w:gridCol w:w="3211"/>
        <w:tblGridChange w:id="0">
          <w:tblGrid>
            <w:gridCol w:w="1449"/>
            <w:gridCol w:w="4700"/>
            <w:gridCol w:w="3211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Work division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way we should split the work during this part of the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have decided that each one of us would be responsible for a particular module which suits their skills best.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851" w:top="2155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0</wp:posOffset>
          </wp:positionV>
          <wp:extent cx="561975" cy="790575"/>
          <wp:effectExtent b="0" l="0" r="0" t="0"/>
          <wp:wrapSquare wrapText="bothSides" distB="0" distT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533" y="3780000"/>
                        <a:ext cx="6304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49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>
      <w:jc w:val="center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