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iragino Sans GB" w:hAnsi="Hiragino Sans GB" w:eastAsia="Hiragino Sans GB" w:cs="Hiragino Sans GB"/>
        </w:rPr>
        <w:t>WaterPulse 首页文案与开发接入说明</w:t>
      </w:r>
    </w:p>
    <w:p>
      <w:r>
        <w:rPr>
          <w:rFonts w:ascii="Hiragino Sans GB" w:hAnsi="Hiragino Sans GB" w:eastAsia="Hiragino Sans GB" w:cs="Hiragino Sans GB"/>
          <w:b w:val="0"/>
        </w:rPr>
        <w:t>首页设计交付  版本 1.1  2026年9月13日</w:t>
      </w:r>
    </w:p>
    <w:p>
      <w:r>
        <w:rPr>
          <w:rFonts w:ascii="Hiragino Sans GB" w:hAnsi="Hiragino Sans GB" w:eastAsia="Hiragino Sans GB" w:cs="Hiragino Sans GB"/>
          <w:b w:val="0"/>
        </w:rPr>
        <w:t>本次首页调整要让首次访问者看懂产品用途、看见分析成果，并知道如何开始。请把本包的布局、文案与示例体验接入原网站，聊天、上传、数据查询、计算与正式报告继续使用原系统。</w:t>
      </w:r>
    </w:p>
    <w:p>
      <w:r>
        <w:rPr>
          <w:rFonts w:ascii="Hiragino Sans GB" w:hAnsi="Hiragino Sans GB" w:eastAsia="Hiragino Sans GB" w:cs="Hiragino Sans GB"/>
          <w:b/>
        </w:rPr>
        <w:t>先打开“01_首页可点击原型.html”体验，再按本说明和“04_开发接入说明.md”实施。当前交付为本地交互原型，尚未合入或部署到线上网站。</w:t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一 首页要让用户理解什么</w:t>
      </w:r>
    </w:p>
    <w:p>
      <w:pPr>
        <w:ind w:left="85"/>
      </w:pPr>
      <w:r>
        <w:rPr>
          <w:rFonts w:ascii="Hiragino Sans GB" w:hAnsi="Hiragino Sans GB" w:eastAsia="Hiragino Sans GB" w:cs="Hiragino Sans GB"/>
          <w:b w:val="0"/>
        </w:rPr>
        <w:t>• 适合谁：农食企业采购、风险管理及相关业务人员。</w:t>
      </w:r>
    </w:p>
    <w:p>
      <w:pPr>
        <w:ind w:left="85"/>
      </w:pPr>
      <w:r>
        <w:rPr>
          <w:rFonts w:ascii="Hiragino Sans GB" w:hAnsi="Hiragino Sans GB" w:eastAsia="Hiragino Sans GB" w:cs="Hiragino Sans GB"/>
          <w:b w:val="0"/>
        </w:rPr>
        <w:t>• 能帮助什么：把产地水风险、原材料敏感性和采购结构结合，识别需要优先核验的节点。</w:t>
      </w:r>
    </w:p>
    <w:p>
      <w:pPr>
        <w:ind w:left="85"/>
      </w:pPr>
      <w:r>
        <w:rPr>
          <w:rFonts w:ascii="Hiragino Sans GB" w:hAnsi="Hiragino Sans GB" w:eastAsia="Hiragino Sans GB" w:cs="Hiragino Sans GB"/>
          <w:b w:val="0"/>
        </w:rPr>
        <w:t>• 怎样开始：直接描述问题、使用已有结构化表格，或先体验模拟采购示例。</w:t>
      </w:r>
    </w:p>
    <w:p>
      <w:pPr>
        <w:ind w:left="85"/>
      </w:pPr>
      <w:r>
        <w:rPr>
          <w:rFonts w:ascii="Hiragino Sans GB" w:hAnsi="Hiragino Sans GB" w:eastAsia="Hiragino Sans GB" w:cs="Hiragino Sans GB"/>
          <w:b w:val="0"/>
        </w:rPr>
        <w:t>• 最终得到什么：节点贡献、情景对照，以及附带来源、假设和缺口的管理建议。</w:t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二 当前首页与建议调整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3515"/>
        <w:gridCol w:w="3798"/>
      </w:tblGrid>
      <w:tr>
        <w:trPr>
          <w:cantSplit/>
          <w:tblHeader/>
        </w:trPr>
        <w:tc>
          <w:tcPr>
            <w:tcW w:type="dxa" w:w="2324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当前表达</w:t>
            </w:r>
          </w:p>
        </w:tc>
        <w:tc>
          <w:tcPr>
            <w:tcW w:type="dxa" w:w="3515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建议调整</w:t>
            </w:r>
          </w:p>
        </w:tc>
        <w:tc>
          <w:tcPr>
            <w:tcW w:type="dxa" w:w="3798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希望达到的效果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大标题与输入框占主导</w:t>
            </w:r>
          </w:p>
        </w:tc>
        <w:tc>
          <w:tcPr>
            <w:tcW w:type="dxa" w:w="3515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缩短标题，加入具体用途说明</w:t>
            </w:r>
          </w:p>
        </w:tc>
        <w:tc>
          <w:tcPr>
            <w:tcW w:type="dxa" w:w="3798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用户明确与自身采购工作的关系</w:t>
            </w:r>
          </w:p>
        </w:tc>
      </w:tr>
      <w:tr>
        <w:trPr>
          <w:cantSplit/>
        </w:trPr>
        <w:tc>
          <w:tcPr>
            <w:tcW w:type="dxa" w:w="2324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介绍集中说明操作方式</w:t>
            </w:r>
          </w:p>
        </w:tc>
        <w:tc>
          <w:tcPr>
            <w:tcW w:type="dxa" w:w="3515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首屏右侧展示成果预览</w:t>
            </w:r>
          </w:p>
        </w:tc>
        <w:tc>
          <w:tcPr>
            <w:tcW w:type="dxa" w:w="3798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用户先知道能得到什么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示例入口位于工具栏</w:t>
            </w:r>
          </w:p>
        </w:tc>
        <w:tc>
          <w:tcPr>
            <w:tcW w:type="dxa" w:w="3515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增加清晰的示例体验入口</w:t>
            </w:r>
          </w:p>
        </w:tc>
        <w:tc>
          <w:tcPr>
            <w:tcW w:type="dxa" w:w="3798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没有资料也能了解完整流程</w:t>
            </w:r>
          </w:p>
        </w:tc>
      </w:tr>
      <w:tr>
        <w:trPr>
          <w:cantSplit/>
        </w:trPr>
        <w:tc>
          <w:tcPr>
            <w:tcW w:type="dxa" w:w="2324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分析过程未在首页展开</w:t>
            </w:r>
          </w:p>
        </w:tc>
        <w:tc>
          <w:tcPr>
            <w:tcW w:type="dxa" w:w="3515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下方展示四步工作流程</w:t>
            </w:r>
          </w:p>
        </w:tc>
        <w:tc>
          <w:tcPr>
            <w:tcW w:type="dxa" w:w="3798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理解助手如何组织分析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连接模型的状态较显眼</w:t>
            </w:r>
          </w:p>
        </w:tc>
        <w:tc>
          <w:tcPr>
            <w:tcW w:type="dxa" w:w="3515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移入工作区或设置，保留真实异常提示</w:t>
            </w:r>
          </w:p>
        </w:tc>
        <w:tc>
          <w:tcPr>
            <w:tcW w:type="dxa" w:w="3798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首页聚焦业务价值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 w:cs="Hiragino Sans GB"/>
        </w:rPr>
        <w:t>三 页面安排</w:t>
      </w:r>
    </w:p>
    <w:p>
      <w:r>
        <w:rPr>
          <w:rFonts w:ascii="Hiragino Sans GB" w:hAnsi="Hiragino Sans GB" w:eastAsia="Hiragino Sans GB" w:cs="Hiragino Sans GB"/>
          <w:b w:val="0"/>
        </w:rPr>
        <w:t>桌面首屏：左侧为用途、提问框、上传及模板工具、常见问题和示例入口；右侧为模拟采购关系、贡献排序和解释。向下依次展示工作流程、成果类型与分析原则。窄屏改为单栏，输入位于成果预览之前。</w:t>
      </w:r>
    </w:p>
    <w:p>
      <w:r>
        <w:rPr>
          <w:rFonts w:ascii="Hiragino Sans GB" w:hAnsi="Hiragino Sans GB" w:eastAsia="Hiragino Sans GB" w:cs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四 首页可直接使用的文案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7654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建议文案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品牌与定位</w:t>
            </w:r>
          </w:p>
        </w:tc>
        <w:tc>
          <w:tcPr>
            <w:tcW w:type="dxa" w:w="7654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WaterPulse</w:t>
              <w:br/>
              <w:t>上游供应链水风险助手</w:t>
              <w:br/>
              <w:t>面向农食企业的采购与风险管理</w:t>
            </w:r>
          </w:p>
        </w:tc>
      </w:tr>
      <w:tr>
        <w:trPr>
          <w:cantSplit/>
        </w:trPr>
        <w:tc>
          <w:tcPr>
            <w:tcW w:type="dxa" w:w="1984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主标题</w:t>
            </w:r>
          </w:p>
        </w:tc>
        <w:tc>
          <w:tcPr>
            <w:tcW w:type="dxa" w:w="7654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看清采购风险，</w:t>
              <w:br/>
              <w:t>找准重点产地。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用途说明</w:t>
            </w:r>
          </w:p>
        </w:tc>
        <w:tc>
          <w:tcPr>
            <w:tcW w:type="dxa" w:w="7654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将产地水风险、原材料敏感性与采购占比联系起来，帮助你识别重点节点、比较压力情景，并查看结论依据。</w:t>
            </w:r>
          </w:p>
        </w:tc>
      </w:tr>
      <w:tr>
        <w:trPr>
          <w:cantSplit/>
        </w:trPr>
        <w:tc>
          <w:tcPr>
            <w:tcW w:type="dxa" w:w="1984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输入提示</w:t>
            </w:r>
          </w:p>
        </w:tc>
        <w:tc>
          <w:tcPr>
            <w:tcW w:type="dxa" w:w="7654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分析我的采购水风险</w:t>
              <w:br/>
              <w:t>请输入原材料、供应地区、采购占比和分析时期。我会帮你识别需要优先关注的供应节点，并说明风险来源与数据缺口。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输入区辅助说明</w:t>
            </w:r>
          </w:p>
        </w:tc>
        <w:tc>
          <w:tcPr>
            <w:tcW w:type="dxa" w:w="7654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资料不完整也可以开始，助手会先整理信息并提示数据缺口。</w:t>
            </w:r>
          </w:p>
        </w:tc>
      </w:tr>
      <w:tr>
        <w:trPr>
          <w:cantSplit/>
        </w:trPr>
        <w:tc>
          <w:tcPr>
            <w:tcW w:type="dxa" w:w="1984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按钮与任务提示</w:t>
            </w:r>
          </w:p>
        </w:tc>
        <w:tc>
          <w:tcPr>
            <w:tcW w:type="dxa" w:w="7654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开始分析｜上传 Excel / CSV｜下载模板</w:t>
              <w:br/>
              <w:t>检查资料缺口｜比较冲击情景</w:t>
              <w:br/>
              <w:t>先走一遍甘蔗采购示例｜无需上传资料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成果预览</w:t>
            </w:r>
          </w:p>
        </w:tc>
        <w:tc>
          <w:tcPr>
            <w:tcW w:type="dxa" w:w="7654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分析成果预览｜模拟采购情景</w:t>
              <w:br/>
              <w:t>同一份采购，看见每个产地的重要性。</w:t>
              <w:br/>
              <w:t>对组合风险的贡献｜查看示例依据</w:t>
            </w:r>
          </w:p>
        </w:tc>
      </w:tr>
      <w:tr>
        <w:trPr>
          <w:cantSplit/>
        </w:trPr>
        <w:tc>
          <w:tcPr>
            <w:tcW w:type="dxa" w:w="1984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示例解释</w:t>
            </w:r>
          </w:p>
        </w:tc>
        <w:tc>
          <w:tcPr>
            <w:tcW w:type="dxa" w:w="7654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先关注巴西示例节点</w:t>
              <w:br/>
              <w:t>本例中，它的节点风险强度较低，但采购占比更大，因此对组合风险的贡献更高。</w:t>
              <w:br/>
              <w:t>比例和强度均为教学设定，不代表真实企业或地区风险。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工作流程引导</w:t>
            </w:r>
          </w:p>
        </w:tc>
        <w:tc>
          <w:tcPr>
            <w:tcW w:type="dxa" w:w="7654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每一步，都知道下一步。</w:t>
              <w:br/>
              <w:t>你提供业务信息，助手组织分析。需要补充或确认的地方，会清楚提示。</w:t>
            </w:r>
          </w:p>
        </w:tc>
      </w:tr>
      <w:tr>
        <w:trPr>
          <w:cantSplit/>
        </w:trPr>
        <w:tc>
          <w:tcPr>
            <w:tcW w:type="dxa" w:w="1984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成果区域引导</w:t>
            </w:r>
          </w:p>
        </w:tc>
        <w:tc>
          <w:tcPr>
            <w:tcW w:type="dxa" w:w="7654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得到能继续讨论的结果。</w:t>
              <w:br/>
              <w:t>从节点排序到情景比较，为采购核验与风险沟通提供依据。</w:t>
            </w:r>
          </w:p>
        </w:tc>
      </w:tr>
    </w:tbl>
    <w:p>
      <w:r>
        <w:rPr>
          <w:rFonts w:ascii="Hiragino Sans GB" w:hAnsi="Hiragino Sans GB" w:eastAsia="Hiragino Sans GB" w:cs="Hiragino Sans GB"/>
          <w:b w:val="0"/>
        </w:rPr>
        <w:t>完整逐区域文字与任务提示的填入内容见“05_首页文案.md”。涉及能力的文案，应在对应功能完成核验后发布。</w:t>
      </w:r>
    </w:p>
    <w:p>
      <w:r>
        <w:rPr>
          <w:rFonts w:ascii="Hiragino Sans GB" w:hAnsi="Hiragino Sans GB" w:eastAsia="Hiragino Sans GB" w:cs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五 示例体验与数字说明</w:t>
      </w:r>
    </w:p>
    <w:p>
      <w:r>
        <w:rPr>
          <w:rFonts w:ascii="Hiragino Sans GB" w:hAnsi="Hiragino Sans GB" w:eastAsia="Hiragino Sans GB" w:cs="Hiragino Sans GB"/>
          <w:b w:val="0"/>
        </w:rPr>
        <w:t>示例采用四步交互，点击“下一步”表示继续浏览；不用定时动画冒充资料查询或真实计算。示例中的采购比例、节点强度和情景条件全部属于教学设定。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835"/>
      </w:tblGrid>
      <w:tr>
        <w:trPr>
          <w:cantSplit/>
          <w:tblHeader/>
        </w:trPr>
        <w:tc>
          <w:tcPr>
            <w:tcW w:type="dxa" w:w="1701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5102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展示内容</w:t>
            </w:r>
          </w:p>
        </w:tc>
        <w:tc>
          <w:tcPr>
            <w:tcW w:type="dxa" w:w="2835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主要交互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01 采购信息</w:t>
            </w:r>
          </w:p>
        </w:tc>
        <w:tc>
          <w:tcPr>
            <w:tcW w:type="dxa" w:w="5102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假设本年度甘蔗采购，巴西60%、广西40%，数量口径</w:t>
            </w:r>
          </w:p>
        </w:tc>
        <w:tc>
          <w:tcPr>
            <w:tcW w:type="dxa" w:w="2835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查看整理后的信息</w:t>
            </w:r>
          </w:p>
        </w:tc>
      </w:tr>
      <w:tr>
        <w:trPr>
          <w:cantSplit/>
        </w:trPr>
        <w:tc>
          <w:tcPr>
            <w:tcW w:type="dxa" w:w="1701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02 数据检查</w:t>
            </w:r>
          </w:p>
        </w:tc>
        <w:tc>
          <w:tcPr>
            <w:tcW w:type="dxa" w:w="5102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分别显示采购信息、教学指定强度、未查询的地点和材料数据</w:t>
            </w:r>
          </w:p>
        </w:tc>
        <w:tc>
          <w:tcPr>
            <w:tcW w:type="dxa" w:w="2835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理解数据身份及缺口处理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03 重点节点</w:t>
            </w:r>
          </w:p>
        </w:tc>
        <w:tc>
          <w:tcPr>
            <w:tcW w:type="dxa" w:w="5102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采购占比影响加权贡献与排序</w:t>
            </w:r>
          </w:p>
        </w:tc>
        <w:tc>
          <w:tcPr>
            <w:tcW w:type="dxa" w:w="2835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滑块调整占比，图表和解释同步更新</w:t>
            </w:r>
          </w:p>
        </w:tc>
      </w:tr>
      <w:tr>
        <w:trPr>
          <w:cantSplit/>
        </w:trPr>
        <w:tc>
          <w:tcPr>
            <w:tcW w:type="dxa" w:w="1701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04 冲击情景</w:t>
            </w:r>
          </w:p>
        </w:tc>
        <w:tc>
          <w:tcPr>
            <w:tcW w:type="dxa" w:w="5102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固定示例基准下的节点失效与需求缺口</w:t>
            </w:r>
          </w:p>
        </w:tc>
        <w:tc>
          <w:tcPr>
            <w:tcW w:type="dxa" w:w="2835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查看守恒关系，下载说明或返回提问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 w:cs="Hiragino Sans GB"/>
        </w:rPr>
        <w:t>贡献图的固定初始值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1531"/>
        <w:gridCol w:w="1871"/>
        <w:gridCol w:w="1757"/>
        <w:gridCol w:w="1757"/>
      </w:tblGrid>
      <w:tr>
        <w:trPr>
          <w:cantSplit/>
          <w:tblHeader/>
        </w:trPr>
        <w:tc>
          <w:tcPr>
            <w:tcW w:type="dxa" w:w="2721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节点</w:t>
            </w:r>
          </w:p>
        </w:tc>
        <w:tc>
          <w:tcPr>
            <w:tcW w:type="dxa" w:w="1531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采购占比</w:t>
            </w:r>
          </w:p>
        </w:tc>
        <w:tc>
          <w:tcPr>
            <w:tcW w:type="dxa" w:w="1871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教学指定强度</w:t>
            </w:r>
          </w:p>
        </w:tc>
        <w:tc>
          <w:tcPr>
            <w:tcW w:type="dxa" w:w="1757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加权贡献</w:t>
            </w:r>
          </w:p>
        </w:tc>
        <w:tc>
          <w:tcPr>
            <w:tcW w:type="dxa" w:w="1757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贡献份额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巴西示例节点</w:t>
            </w:r>
          </w:p>
        </w:tc>
        <w:tc>
          <w:tcPr>
            <w:tcW w:type="dxa" w:w="1531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60%</w:t>
            </w:r>
          </w:p>
        </w:tc>
        <w:tc>
          <w:tcPr>
            <w:tcW w:type="dxa" w:w="1871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0.40</w:t>
            </w:r>
          </w:p>
        </w:tc>
        <w:tc>
          <w:tcPr>
            <w:tcW w:type="dxa" w:w="1757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0.240</w:t>
            </w:r>
          </w:p>
        </w:tc>
        <w:tc>
          <w:tcPr>
            <w:tcW w:type="dxa" w:w="1757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54.5%</w:t>
            </w:r>
          </w:p>
        </w:tc>
      </w:tr>
      <w:tr>
        <w:trPr>
          <w:cantSplit/>
        </w:trPr>
        <w:tc>
          <w:tcPr>
            <w:tcW w:type="dxa" w:w="2721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广西示例节点</w:t>
            </w:r>
          </w:p>
        </w:tc>
        <w:tc>
          <w:tcPr>
            <w:tcW w:type="dxa" w:w="1531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40%</w:t>
            </w:r>
          </w:p>
        </w:tc>
        <w:tc>
          <w:tcPr>
            <w:tcW w:type="dxa" w:w="1871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0.50</w:t>
            </w:r>
          </w:p>
        </w:tc>
        <w:tc>
          <w:tcPr>
            <w:tcW w:type="dxa" w:w="1757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0.200</w:t>
            </w:r>
          </w:p>
        </w:tc>
        <w:tc>
          <w:tcPr>
            <w:tcW w:type="dxa" w:w="1757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45.5%</w:t>
            </w:r>
          </w:p>
        </w:tc>
      </w:tr>
    </w:tbl>
    <w:p>
      <w:r>
        <w:rPr>
          <w:rFonts w:ascii="Hiragino Sans GB" w:hAnsi="Hiragino Sans GB" w:eastAsia="Hiragino Sans GB" w:cs="Hiragino Sans GB"/>
          <w:b w:val="0"/>
        </w:rPr>
        <w:t>加权贡献＝采购占比×教学指定强度。贡献份额以两地贡献之和为分母。这里仅解释加权关系，未查询正式水风险数据、未运行三路径模型，不代表真实企业或地区评分。</w:t>
      </w:r>
    </w:p>
    <w:p>
      <w:r>
        <w:rPr>
          <w:rFonts w:ascii="Hiragino Sans GB" w:hAnsi="Hiragino Sans GB" w:eastAsia="Hiragino Sans GB" w:cs="Hiragino Sans GB"/>
          <w:b w:val="0"/>
        </w:rPr>
        <w:t>滑块从10%到90%，每次变化5个百分点；广西占比补足100%。巴西占比改为50%时，两地贡献变为0.200和0.250，广西贡献更高。滑块探索不覆盖固定示例基准。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节点失效的固定情景</w:t>
      </w:r>
    </w:p>
    <w:p>
      <w:r>
        <w:rPr>
          <w:rFonts w:ascii="Hiragino Sans GB" w:hAnsi="Hiragino Sans GB" w:eastAsia="Hiragino Sans GB" w:cs="Hiragino Sans GB"/>
          <w:b w:val="0"/>
        </w:rPr>
        <w:t>回到60% / 40%的固定基准，假设巴西节点50%的供应无法交付。受影响供应为总需求的30%；库存可覆盖5%，替代供应可覆盖10%，未满足需求为15%。全部以同一时期总需求为分母。</w:t>
      </w:r>
    </w:p>
    <w:p>
      <w:r>
        <w:rPr>
          <w:rFonts w:ascii="Hiragino Sans GB" w:hAnsi="Hiragino Sans GB" w:eastAsia="Hiragino Sans GB" w:cs="Hiragino Sans GB"/>
          <w:b w:val="0"/>
        </w:rPr>
        <w:t>供应守恒：30%＝5%＋10%＋15%。这是节点失效的假设演算，不是从干旱或风险指数推断出的缺货预测。下载的TXT明确保留这些假设。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正式站采用示例时</w:t>
      </w:r>
    </w:p>
    <w:p>
      <w:r>
        <w:rPr>
          <w:rFonts w:ascii="Hiragino Sans GB" w:hAnsi="Hiragino Sans GB" w:eastAsia="Hiragino Sans GB" w:cs="Hiragino Sans GB"/>
          <w:b w:val="0"/>
        </w:rPr>
        <w:t>可以保留本教学示例，但必须始终显示模拟身份；也可以替换为经核验的真实模型示例，但输入、图表、解释和导出必须整体来自同一运行。不要只替换部分数字，更不要将示例数字写进真实分析结果。</w:t>
      </w:r>
    </w:p>
    <w:p>
      <w:r>
        <w:rPr>
          <w:rFonts w:ascii="Hiragino Sans GB" w:hAnsi="Hiragino Sans GB" w:eastAsia="Hiragino Sans GB" w:cs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六 开发接入方式</w:t>
      </w:r>
    </w:p>
    <w:p>
      <w:r>
        <w:rPr>
          <w:rFonts w:ascii="Hiragino Sans GB" w:hAnsi="Hiragino Sans GB" w:eastAsia="Hiragino Sans GB" w:cs="Hiragino Sans GB"/>
          <w:b w:val="0"/>
        </w:rPr>
        <w:t>本包使用普通HTML、CSS和JavaScript，单文件供预览，拆分文件供移植。无需引入新的前端框架；当前未取得原站源码，具体函数与状态字段以原项目为准。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6406"/>
      </w:tblGrid>
      <w:tr>
        <w:trPr>
          <w:cantSplit/>
          <w:tblHeader/>
        </w:trPr>
        <w:tc>
          <w:tcPr>
            <w:tcW w:type="dxa" w:w="3231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文件</w:t>
            </w:r>
          </w:p>
        </w:tc>
        <w:tc>
          <w:tcPr>
            <w:tcW w:type="dxa" w:w="6406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接入用途</w:t>
            </w:r>
          </w:p>
        </w:tc>
      </w:tr>
      <w:tr>
        <w:trPr>
          <w:cantSplit/>
        </w:trPr>
        <w:tc>
          <w:tcPr>
            <w:tcW w:type="dxa" w:w="3231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index.html</w:t>
            </w:r>
          </w:p>
        </w:tc>
        <w:tc>
          <w:tcPr>
            <w:tcW w:type="dxa" w:w="6406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提取 #wp-home 容器，嵌入原首页；宿主页继续拥有html、head、body。</w:t>
            </w:r>
          </w:p>
        </w:tc>
      </w:tr>
      <w:tr>
        <w:trPr>
          <w:cantSplit/>
        </w:trPr>
        <w:tc>
          <w:tcPr>
            <w:tcW w:type="dxa" w:w="3231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waterpulse-home.css</w:t>
            </w:r>
          </w:p>
        </w:tc>
        <w:tc>
          <w:tcPr>
            <w:tcW w:type="dxa" w:w="6406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选择器全部限定在 #wp-home 下；检查宿主全局样式是否冲突。</w:t>
            </w:r>
          </w:p>
        </w:tc>
      </w:tr>
      <w:tr>
        <w:trPr>
          <w:cantSplit/>
        </w:trPr>
        <w:tc>
          <w:tcPr>
            <w:tcW w:type="dxa" w:w="3231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waterpulse-home.js</w:t>
            </w:r>
          </w:p>
        </w:tc>
        <w:tc>
          <w:tcPr>
            <w:tcW w:type="dxa" w:w="6406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保留示例交互和状态处理；真实业务通过宿主适配器连接。</w:t>
            </w:r>
          </w:p>
        </w:tc>
      </w:tr>
      <w:tr>
        <w:trPr>
          <w:cantSplit/>
        </w:trPr>
        <w:tc>
          <w:tcPr>
            <w:tcW w:type="dxa" w:w="3231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integration.example.js</w:t>
            </w:r>
          </w:p>
        </w:tc>
        <w:tc>
          <w:tcPr>
            <w:tcW w:type="dxa" w:w="6406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提供函数适配器工厂；示例宿主函数名须替换为原站真实实现。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 w:cs="Hiragino Sans GB"/>
        </w:rPr>
        <w:t>按钮与原网站的对应关系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6406"/>
      </w:tblGrid>
      <w:tr>
        <w:trPr>
          <w:cantSplit/>
          <w:tblHeader/>
        </w:trPr>
        <w:tc>
          <w:tcPr>
            <w:tcW w:type="dxa" w:w="3231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按钮</w:t>
            </w:r>
          </w:p>
        </w:tc>
        <w:tc>
          <w:tcPr>
            <w:tcW w:type="dxa" w:w="6406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应连接的现有功能</w:t>
            </w:r>
          </w:p>
        </w:tc>
      </w:tr>
      <w:tr>
        <w:trPr>
          <w:cantSplit/>
        </w:trPr>
        <w:tc>
          <w:tcPr>
            <w:tcW w:type="dxa" w:w="3231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开始分析</w:t>
            </w:r>
          </w:p>
        </w:tc>
        <w:tc>
          <w:tcPr>
            <w:tcW w:type="dxa" w:w="6406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传递本次真实输入，进入原会话；出错时保留输入并允许重试。</w:t>
            </w:r>
          </w:p>
        </w:tc>
      </w:tr>
      <w:tr>
        <w:trPr>
          <w:cantSplit/>
        </w:trPr>
        <w:tc>
          <w:tcPr>
            <w:tcW w:type="dxa" w:w="3231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上传 Excel / CSV</w:t>
            </w:r>
          </w:p>
        </w:tc>
        <w:tc>
          <w:tcPr>
            <w:tcW w:type="dxa" w:w="6406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原站文件选择、格式检查、解析和字段映射确认流程。</w:t>
            </w:r>
          </w:p>
        </w:tc>
      </w:tr>
      <w:tr>
        <w:trPr>
          <w:cantSplit/>
        </w:trPr>
        <w:tc>
          <w:tcPr>
            <w:tcW w:type="dxa" w:w="3231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下载模板</w:t>
            </w:r>
          </w:p>
        </w:tc>
        <w:tc>
          <w:tcPr>
            <w:tcW w:type="dxa" w:w="6406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与当前计算版本匹配的真实Excel模板下载。</w:t>
            </w:r>
          </w:p>
        </w:tc>
      </w:tr>
      <w:tr>
        <w:trPr>
          <w:cantSplit/>
        </w:trPr>
        <w:tc>
          <w:tcPr>
            <w:tcW w:type="dxa" w:w="3231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体验示例</w:t>
            </w:r>
          </w:p>
        </w:tc>
        <w:tc>
          <w:tcPr>
            <w:tcW w:type="dxa" w:w="6406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本地教学流程；若改成线上分析，须明确区分示例与真实运行。</w:t>
            </w:r>
          </w:p>
        </w:tc>
      </w:tr>
      <w:tr>
        <w:trPr>
          <w:cantSplit/>
        </w:trPr>
        <w:tc>
          <w:tcPr>
            <w:tcW w:type="dxa" w:w="3231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新对话与语音</w:t>
            </w:r>
          </w:p>
        </w:tc>
        <w:tc>
          <w:tcPr>
            <w:tcW w:type="dxa" w:w="6406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保留原站功能；语音通过核验后作为输入区次要工具显示。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 w:cs="Hiragino Sans GB"/>
        </w:rPr>
        <w:t>需要保留的状态</w:t>
      </w:r>
    </w:p>
    <w:p>
      <w:pPr>
        <w:ind w:left="85"/>
      </w:pPr>
      <w:r>
        <w:rPr>
          <w:rFonts w:ascii="Hiragino Sans GB" w:hAnsi="Hiragino Sans GB" w:eastAsia="Hiragino Sans GB" w:cs="Hiragino Sans GB"/>
          <w:b w:val="0"/>
        </w:rPr>
        <w:t>• 真实业务开始后收起首页介绍，继续使用原工作区；避免重复输入框、重复会话或文件上下文丢失。</w:t>
      </w:r>
    </w:p>
    <w:p>
      <w:pPr>
        <w:ind w:left="85"/>
      </w:pPr>
      <w:r>
        <w:rPr>
          <w:rFonts w:ascii="Hiragino Sans GB" w:hAnsi="Hiragino Sans GB" w:eastAsia="Hiragino Sans GB" w:cs="Hiragino Sans GB"/>
          <w:b w:val="0"/>
        </w:rPr>
        <w:t>• 没有注册业务适配器时，原型明确显示本地预览，不读取文件，不调用网络，也不显示假的成功结果。</w:t>
      </w:r>
    </w:p>
    <w:p>
      <w:pPr>
        <w:ind w:left="85"/>
      </w:pPr>
      <w:r>
        <w:rPr>
          <w:rFonts w:ascii="Hiragino Sans GB" w:hAnsi="Hiragino Sans GB" w:eastAsia="Hiragino Sans GB" w:cs="Hiragino Sans GB"/>
          <w:b w:val="0"/>
        </w:rPr>
        <w:t>• 进入示例不会清空用户已输入的文字；退出示例后可以继续编辑。</w:t>
      </w:r>
    </w:p>
    <w:p>
      <w:pPr>
        <w:ind w:left="85"/>
      </w:pPr>
      <w:r>
        <w:rPr>
          <w:rFonts w:ascii="Hiragino Sans GB" w:hAnsi="Hiragino Sans GB" w:eastAsia="Hiragino Sans GB" w:cs="Hiragino Sans GB"/>
          <w:b w:val="0"/>
        </w:rPr>
        <w:t>• 未知、部分结果、冲突、错误与完整结果分别展示。模拟和代理标记贯穿图表与导出。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发布前审校能力文案</w:t>
      </w:r>
    </w:p>
    <w:p>
      <w:r>
        <w:rPr>
          <w:rFonts w:ascii="Hiragino Sans GB" w:hAnsi="Hiragino Sans GB" w:eastAsia="Hiragino Sans GB" w:cs="Hiragino Sans GB"/>
          <w:b w:val="0"/>
        </w:rPr>
        <w:t>本版上传文案只写Excel/CSV。整份ESG或PDF解析、四类情景、语音和正式报告导出，均需按当前真实可用能力逐项核验；不能把介绍文档中的设计要求直接写成已经完成的功能。</w:t>
      </w:r>
    </w:p>
    <w:p>
      <w:r>
        <w:rPr>
          <w:rFonts w:ascii="Hiragino Sans GB" w:hAnsi="Hiragino Sans GB" w:eastAsia="Hiragino Sans GB" w:cs="Hiragino Sans GB"/>
          <w:b w:val="0"/>
        </w:rPr>
        <w:t>详细函数约定、页面切换与响应映射要求见“04_开发接入说明.md”。</w:t>
      </w:r>
    </w:p>
    <w:p>
      <w:r>
        <w:rPr>
          <w:rFonts w:ascii="Hiragino Sans GB" w:hAnsi="Hiragino Sans GB" w:eastAsia="Hiragino Sans GB" w:cs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七 视觉与上线验收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视觉规范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257"/>
            <w:shd w:fill="E8EFEC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整体风格</w:t>
            </w:r>
          </w:p>
        </w:tc>
        <w:tc>
          <w:tcPr>
            <w:tcW w:type="dxa" w:w="7257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延续蓝绿色，浅色背景，保留清楚的文字主次与留白。</w:t>
            </w:r>
          </w:p>
        </w:tc>
      </w:tr>
      <w:tr>
        <w:trPr>
          <w:cantSplit/>
        </w:trPr>
        <w:tc>
          <w:tcPr>
            <w:tcW w:type="dxa" w:w="2381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颜色</w:t>
            </w:r>
          </w:p>
        </w:tc>
        <w:tc>
          <w:tcPr>
            <w:tcW w:type="dxa" w:w="7257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主色#137566；文字#172F3A；背景#F7FAF9；第二节点#3974AB。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桌面与窄屏</w:t>
            </w:r>
          </w:p>
        </w:tc>
        <w:tc>
          <w:tcPr>
            <w:tcW w:type="dxa" w:w="7257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桌面双栏，800px及以下单栏；输入始终在成果预览前。</w:t>
            </w:r>
          </w:p>
        </w:tc>
      </w:tr>
      <w:tr>
        <w:trPr>
          <w:cantSplit/>
        </w:trPr>
        <w:tc>
          <w:tcPr>
            <w:tcW w:type="dxa" w:w="2381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滚动与弹窗</w:t>
            </w:r>
          </w:p>
        </w:tc>
        <w:tc>
          <w:tcPr>
            <w:tcW w:type="dxa" w:w="7257"/>
            <w:shd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页面允许自然滚动，避免固定高度遮住正文；弹窗独立滚动。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可操作性</w:t>
            </w:r>
          </w:p>
        </w:tc>
        <w:tc>
          <w:tcPr>
            <w:tcW w:type="dxa" w:w="7257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18"/>
              </w:rPr>
              <w:t>保留键盘焦点、输入标签、Esc关闭、错误提示和焦点返回。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 w:cs="Hiragino Sans GB"/>
        </w:rPr>
        <w:t>首页合入后必须检查</w:t>
      </w:r>
    </w:p>
    <w:p>
      <w:pPr>
        <w:ind w:left="85"/>
      </w:pPr>
      <w:r>
        <w:rPr>
          <w:rFonts w:ascii="Hiragino Sans GB" w:hAnsi="Hiragino Sans GB" w:eastAsia="Hiragino Sans GB" w:cs="Hiragino Sans GB"/>
          <w:b w:val="0"/>
        </w:rPr>
        <w:t>• 用户能在首屏理解用途，找到输入与示例；短高度和手机窗口没有正文被遮挡。</w:t>
      </w:r>
    </w:p>
    <w:p>
      <w:pPr>
        <w:ind w:left="85"/>
      </w:pPr>
      <w:r>
        <w:rPr>
          <w:rFonts w:ascii="Hiragino Sans GB" w:hAnsi="Hiragino Sans GB" w:eastAsia="Hiragino Sans GB" w:cs="Hiragino Sans GB"/>
          <w:b w:val="0"/>
        </w:rPr>
        <w:t>• 任务提示只填入问题，不自动提交；空输入、重试、关闭弹窗与返回输入正常。</w:t>
      </w:r>
    </w:p>
    <w:p>
      <w:pPr>
        <w:ind w:left="85"/>
      </w:pPr>
      <w:r>
        <w:rPr>
          <w:rFonts w:ascii="Hiragino Sans GB" w:hAnsi="Hiragino Sans GB" w:eastAsia="Hiragino Sans GB" w:cs="Hiragino Sans GB"/>
          <w:b w:val="0"/>
        </w:rPr>
        <w:t>• 真实问题进入原站工作区；上传、模板、新对话与语音按原有能力工作。</w:t>
      </w:r>
    </w:p>
    <w:p>
      <w:pPr>
        <w:ind w:left="85"/>
      </w:pPr>
      <w:r>
        <w:rPr>
          <w:rFonts w:ascii="Hiragino Sans GB" w:hAnsi="Hiragino Sans GB" w:eastAsia="Hiragino Sans GB" w:cs="Hiragino Sans GB"/>
          <w:b w:val="0"/>
        </w:rPr>
        <w:t>• 示例滑块、排序和解释同步；节点失效保持固定基准，示例说明保留假设。</w:t>
      </w:r>
    </w:p>
    <w:p>
      <w:pPr>
        <w:ind w:left="85"/>
      </w:pPr>
      <w:r>
        <w:rPr>
          <w:rFonts w:ascii="Hiragino Sans GB" w:hAnsi="Hiragino Sans GB" w:eastAsia="Hiragino Sans GB" w:cs="Hiragino Sans GB"/>
          <w:b w:val="0"/>
        </w:rPr>
        <w:t>• 真实分析贯通输入确认、基准、一个情景、解释和导出；页面与导出一致。</w:t>
      </w:r>
    </w:p>
    <w:p>
      <w:pPr>
        <w:ind w:left="85"/>
      </w:pPr>
      <w:r>
        <w:rPr>
          <w:rFonts w:ascii="Hiragino Sans GB" w:hAnsi="Hiragino Sans GB" w:eastAsia="Hiragino Sans GB" w:cs="Hiragino Sans GB"/>
          <w:b w:val="0"/>
        </w:rPr>
        <w:t>• 采购份额、地点或关键参数不足时，提示具体缺口，不产生伪完整评分。</w:t>
      </w:r>
    </w:p>
    <w:p>
      <w:pPr>
        <w:ind w:left="85"/>
      </w:pPr>
      <w:r>
        <w:rPr>
          <w:rFonts w:ascii="Hiragino Sans GB" w:hAnsi="Hiragino Sans GB" w:eastAsia="Hiragino Sans GB" w:cs="Hiragino Sans GB"/>
          <w:b w:val="0"/>
        </w:rPr>
        <w:t>• 风险强度、风险贡献和供应缺口分别解释，示例和代理数据身份可见。</w:t>
      </w:r>
    </w:p>
    <w:p>
      <w:pPr>
        <w:ind w:left="85"/>
      </w:pPr>
      <w:r>
        <w:rPr>
          <w:rFonts w:ascii="Hiragino Sans GB" w:hAnsi="Hiragino Sans GB" w:eastAsia="Hiragino Sans GB" w:cs="Hiragino Sans GB"/>
          <w:b w:val="0"/>
        </w:rPr>
        <w:t>• 375px、390px、768px、1024px、1440px及短窗口下检查布局与键盘操作。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交付与验收状态</w:t>
      </w:r>
    </w:p>
    <w:p>
      <w:r>
        <w:rPr>
          <w:rFonts w:ascii="Hiragino Sans GB" w:hAnsi="Hiragino Sans GB" w:eastAsia="Hiragino Sans GB" w:cs="Hiragino Sans GB"/>
          <w:b w:val="0"/>
        </w:rPr>
        <w:t>本包交付的是可离线体验的首页设计、文案及接入说明。上线合入、真实后端连接和部署验收由开发同学完成，并记录对应代码与数据版本。原型检查通过不能替代线上完整流程验收。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参考材料</w:t>
      </w:r>
    </w:p>
    <w:p>
      <w:r>
        <w:rPr>
          <w:rFonts w:ascii="Hiragino Sans GB" w:hAnsi="Hiragino Sans GB" w:eastAsia="Hiragino Sans GB" w:cs="Hiragino Sans GB"/>
          <w:b w:val="0"/>
        </w:rPr>
        <w:t>《研究报告最终提交版》执行摘要及第三章；《agent工作流【必看】》；《AI Agent 用户信息解析与数据查询开发接入任务书 V1.1》；2026年9月13日本会话对当前首页的只读观察。</w:t>
      </w:r>
    </w:p>
    <w:p>
      <w:r>
        <w:rPr>
          <w:rFonts w:ascii="Hiragino Sans GB" w:hAnsi="Hiragino Sans GB" w:eastAsia="Hiragino Sans GB" w:cs="Hiragino Sans GB"/>
          <w:b w:val="0"/>
        </w:rPr>
        <w:t>教学设定的示例值专用于解释交互，不构成研究报告的新结果。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WaterPulse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Hiragino Sans GB" w:hAnsi="Hiragino Sans GB" w:eastAsia="Hiragino Sans G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WaterPulse 首页文案与开发接入说明</dc:title>
  <dc:subject>首页布局 介绍文案 示例交互和原网站接入</dc:subject>
  <dc:creator>WaterPulse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