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20"/>
        <w:jc w:val="center"/>
      </w:pPr>
      <w:r>
        <w:rPr>
          <w:rFonts w:ascii="Noto Sans CJK SC" w:hAnsi="Noto Sans CJK SC" w:eastAsia="Noto Sans CJK SC"/>
          <w:b/>
          <w:color w:val="2F75B5"/>
          <w:sz w:val="26"/>
        </w:rPr>
        <w:t>WaterPulse</w:t>
      </w:r>
    </w:p>
    <w:p>
      <w:pPr>
        <w:jc w:val="center"/>
      </w:pPr>
      <w:r>
        <w:rPr>
          <w:rFonts w:ascii="Noto Sans CJK SC" w:hAnsi="Noto Sans CJK SC" w:eastAsia="Noto Sans CJK SC"/>
          <w:b/>
          <w:color w:val="17365D"/>
          <w:sz w:val="46"/>
        </w:rPr>
        <w:t>大豆上游供应链水风险决策报告</w:t>
      </w:r>
    </w:p>
    <w:p>
      <w:pPr>
        <w:jc w:val="center"/>
      </w:pPr>
      <w:r>
        <w:rPr>
          <w:rFonts w:ascii="Noto Sans CJK SC" w:hAnsi="Noto Sans CJK SC" w:eastAsia="Noto Sans CJK SC"/>
          <w:i/>
        </w:rPr>
        <w:t>DEMO_B(植物蛋白示范企业) · 2025</w:t>
      </w:r>
    </w:p>
    <w:p>
      <w:pPr>
        <w:jc w:val="center"/>
      </w:pPr>
      <w:r>
        <w:rPr>
          <w:rFonts w:ascii="Noto Sans CJK SC" w:hAnsi="Noto Sans CJK SC" w:eastAsia="Noto Sans CJK SC"/>
          <w:b/>
          <w:color w:val="C98A16"/>
        </w:rPr>
        <w:t>当前为参考 / 示范数据分析，用于风险筛查与方案比较</w:t>
      </w:r>
    </w:p>
    <w:p>
      <w:r>
        <w:rPr>
          <w:rFonts w:ascii="Noto Sans CJK SC" w:hAnsi="Noto Sans CJK SC" w:eastAsia="Noto Sans CJK SC"/>
          <w:b/>
          <w:color w:val="17365D"/>
          <w:sz w:val="32"/>
        </w:rPr>
        <w:t>1. 管理摘要</w:t>
      </w:r>
    </w:p>
    <w:p>
      <w:pPr>
        <w:spacing w:after="120" w:line="300" w:lineRule="auto"/>
      </w:pPr>
      <w:r>
        <w:rPr>
          <w:rFonts w:ascii="Noto Sans CJK SC" w:hAnsi="Noto Sans CJK SC" w:eastAsia="Noto Sans CJK SC"/>
        </w:rPr>
        <w:t>大豆当前综合相对水风险指数为 0.313。 对采购组合影响最大的供应地区是巴西马托格罗索州，约贡献61.2%的整体风险。 首要风险因素是长期水资源紧张，约占44.4%。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shd w:fill="F5F9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2F75B5"/>
                <w:sz w:val="22"/>
              </w:rPr>
              <w:t>0.313</w:t>
              <w:br/>
              <w:t>综合相对水风险指数</w:t>
            </w:r>
          </w:p>
        </w:tc>
        <w:tc>
          <w:tcPr>
            <w:tcW w:type="dxa" w:w="5141"/>
            <w:shd w:fill="F5F9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65D"/>
                <w:sz w:val="22"/>
              </w:rPr>
              <w:t>巴西马托格罗索州</w:t>
              <w:br/>
              <w:t>贡献约 61.2%</w:t>
            </w:r>
          </w:p>
        </w:tc>
      </w:tr>
      <w:tr>
        <w:tc>
          <w:tcPr>
            <w:tcW w:type="dxa" w:w="5141"/>
            <w:shd w:fill="F5F9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8A70"/>
                <w:sz w:val="22"/>
              </w:rPr>
              <w:t>长期水资源紧张</w:t>
              <w:br/>
              <w:t>约占 44.4%</w:t>
            </w:r>
          </w:p>
        </w:tc>
        <w:tc>
          <w:tcPr>
            <w:tcW w:type="dxa" w:w="5141"/>
            <w:shd w:fill="F5F9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C98A16"/>
                <w:sz w:val="22"/>
              </w:rPr>
              <w:t>剩余缺口 10.0%</w:t>
              <w:br/>
              <w:t>主要供应地区中断测试</w:t>
            </w:r>
          </w:p>
        </w:tc>
      </w:tr>
    </w:tbl>
    <w:p>
      <w:r>
        <w:rPr>
          <w:rFonts w:ascii="Noto Sans CJK SC" w:hAnsi="Noto Sans CJK SC" w:eastAsia="Noto Sans CJK SC"/>
          <w:b/>
          <w:color w:val="17365D"/>
          <w:sz w:val="32"/>
        </w:rPr>
        <w:t>2. 供应地区风险概览</w:t>
      </w:r>
    </w:p>
    <w:p>
      <w:pPr>
        <w:spacing w:after="120" w:line="300" w:lineRule="auto"/>
      </w:pPr>
      <w:r>
        <w:rPr>
          <w:rFonts w:ascii="Noto Sans CJK SC" w:hAnsi="Noto Sans CJK SC" w:eastAsia="Noto Sans CJK SC"/>
        </w:rPr>
        <w:t>本节只展示企业真正需要用于采购判断的结果：采购集中在哪里、哪些供应地区对整体风险影响最大，以及需要优先管理的顺序。</w:t>
      </w:r>
    </w:p>
    <w:p>
      <w:r>
        <w:rPr>
          <w:rFonts w:ascii="Noto Sans CJK SC" w:hAnsi="Noto Sans CJK SC" w:eastAsia="Noto Sans CJK SC"/>
        </w:rPr>
        <w:drawing>
          <wp:inline xmlns:a="http://schemas.openxmlformats.org/drawingml/2006/main" xmlns:pic="http://schemas.openxmlformats.org/drawingml/2006/picture">
            <wp:extent cx="5715000" cy="21822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ap_v99_fig1_procureme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182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</w:rPr>
        <w:t>当前采购结构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F75B5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供应地区</w:t>
            </w:r>
          </w:p>
        </w:tc>
        <w:tc>
          <w:tcPr>
            <w:tcW w:type="dxa" w:w="2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F75B5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采购占比</w:t>
            </w:r>
          </w:p>
        </w:tc>
        <w:tc>
          <w:tcPr>
            <w:tcW w:type="dxa" w:w="2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F75B5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地区相对水风险</w:t>
            </w:r>
          </w:p>
        </w:tc>
        <w:tc>
          <w:tcPr>
            <w:tcW w:type="dxa" w:w="2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F75B5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对整体风险贡献</w:t>
            </w:r>
          </w:p>
        </w:tc>
        <w:tc>
          <w:tcPr>
            <w:tcW w:type="dxa" w:w="2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F75B5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管理优先级</w:t>
            </w:r>
          </w:p>
        </w:tc>
      </w:tr>
      <w:tr>
        <w:tc>
          <w:tcPr>
            <w:tcW w:type="dxa" w:w="2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巴西马托格罗索州</w:t>
            </w:r>
          </w:p>
        </w:tc>
        <w:tc>
          <w:tcPr>
            <w:tcW w:type="dxa" w:w="2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65.0%</w:t>
            </w:r>
          </w:p>
        </w:tc>
        <w:tc>
          <w:tcPr>
            <w:tcW w:type="dxa" w:w="2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0.295</w:t>
            </w:r>
          </w:p>
        </w:tc>
        <w:tc>
          <w:tcPr>
            <w:tcW w:type="dxa" w:w="2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61.2%</w:t>
            </w:r>
          </w:p>
        </w:tc>
        <w:tc>
          <w:tcPr>
            <w:tcW w:type="dxa" w:w="2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7365D"/>
                <w:sz w:val="19"/>
              </w:rPr>
              <w:t>优先关注</w:t>
            </w:r>
          </w:p>
        </w:tc>
      </w:tr>
      <w:tr>
        <w:tc>
          <w:tcPr>
            <w:tcW w:type="dxa" w:w="2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美国中西部(爱荷华/伊利诺伊)</w:t>
            </w:r>
          </w:p>
        </w:tc>
        <w:tc>
          <w:tcPr>
            <w:tcW w:type="dxa" w:w="2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20.0%</w:t>
            </w:r>
          </w:p>
        </w:tc>
        <w:tc>
          <w:tcPr>
            <w:tcW w:type="dxa" w:w="2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0.382</w:t>
            </w:r>
          </w:p>
        </w:tc>
        <w:tc>
          <w:tcPr>
            <w:tcW w:type="dxa" w:w="2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24.4%</w:t>
            </w:r>
          </w:p>
        </w:tc>
        <w:tc>
          <w:tcPr>
            <w:tcW w:type="dxa" w:w="2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7365D"/>
                <w:sz w:val="19"/>
              </w:rPr>
              <w:t>重点监控</w:t>
            </w:r>
          </w:p>
        </w:tc>
      </w:tr>
      <w:tr>
        <w:tc>
          <w:tcPr>
            <w:tcW w:type="dxa" w:w="2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阿根廷潘帕斯(布宜诺斯艾利斯)</w:t>
            </w:r>
          </w:p>
        </w:tc>
        <w:tc>
          <w:tcPr>
            <w:tcW w:type="dxa" w:w="2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10.0%</w:t>
            </w:r>
          </w:p>
        </w:tc>
        <w:tc>
          <w:tcPr>
            <w:tcW w:type="dxa" w:w="2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0.318</w:t>
            </w:r>
          </w:p>
        </w:tc>
        <w:tc>
          <w:tcPr>
            <w:tcW w:type="dxa" w:w="2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10.1%</w:t>
            </w:r>
          </w:p>
        </w:tc>
        <w:tc>
          <w:tcPr>
            <w:tcW w:type="dxa" w:w="2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7365D"/>
                <w:sz w:val="19"/>
              </w:rPr>
              <w:t>常规监控</w:t>
            </w:r>
          </w:p>
        </w:tc>
      </w:tr>
      <w:tr>
        <w:tc>
          <w:tcPr>
            <w:tcW w:type="dxa" w:w="2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加拿大萨斯喀彻温省</w:t>
            </w:r>
          </w:p>
        </w:tc>
        <w:tc>
          <w:tcPr>
            <w:tcW w:type="dxa" w:w="2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5.0%</w:t>
            </w:r>
          </w:p>
        </w:tc>
        <w:tc>
          <w:tcPr>
            <w:tcW w:type="dxa" w:w="2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0.269</w:t>
            </w:r>
          </w:p>
        </w:tc>
        <w:tc>
          <w:tcPr>
            <w:tcW w:type="dxa" w:w="2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4.3%</w:t>
            </w:r>
          </w:p>
        </w:tc>
        <w:tc>
          <w:tcPr>
            <w:tcW w:type="dxa" w:w="2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7365D"/>
                <w:sz w:val="19"/>
              </w:rPr>
              <w:t>常规监控</w:t>
            </w:r>
          </w:p>
        </w:tc>
      </w:tr>
    </w:tbl>
    <w:p>
      <w:pPr>
        <w:pStyle w:val="ListBullet"/>
        <w:spacing w:after="80"/>
      </w:pPr>
      <w:r>
        <w:rPr>
          <w:rFonts w:ascii="Noto Sans CJK SC" w:hAnsi="Noto Sans CJK SC" w:eastAsia="Noto Sans CJK SC"/>
        </w:rPr>
        <w:t>巴西马托格罗索州是当前最需要优先管理的供应地区，对整体风险的贡献约为61.2%。应优先核实其真实采购量、供水条件和替代供应能力。</w:t>
      </w:r>
    </w:p>
    <w:p>
      <w:r>
        <w:rPr>
          <w:rFonts w:ascii="Noto Sans CJK SC" w:hAnsi="Noto Sans CJK SC" w:eastAsia="Noto Sans CJK SC"/>
          <w:b/>
          <w:color w:val="17365D"/>
          <w:sz w:val="32"/>
        </w:rPr>
        <w:t>3. 主要水风险来源</w:t>
      </w:r>
    </w:p>
    <w:p>
      <w:pPr>
        <w:spacing w:after="120" w:line="300" w:lineRule="auto"/>
      </w:pPr>
      <w:r>
        <w:rPr>
          <w:rFonts w:ascii="Noto Sans CJK SC" w:hAnsi="Noto Sans CJK SC" w:eastAsia="Noto Sans CJK SC"/>
        </w:rPr>
        <w:t>风险来源用于回答“为什么需要关注这些供应地区”。这里不展示计算公式，只保留企业需要理解的风险构成。</w:t>
      </w:r>
    </w:p>
    <w:p>
      <w:r>
        <w:rPr>
          <w:rFonts w:ascii="Noto Sans CJK SC" w:hAnsi="Noto Sans CJK SC" w:eastAsia="Noto Sans CJK SC"/>
        </w:rPr>
        <w:drawing>
          <wp:inline xmlns:a="http://schemas.openxmlformats.org/drawingml/2006/main" xmlns:pic="http://schemas.openxmlformats.org/drawingml/2006/picture">
            <wp:extent cx="5715000" cy="18692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ap_v99_fig2_path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869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</w:rPr>
        <w:t>主要水风险来源及其相对贡献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长期水资源紧张：约占整体风险的 44.4%。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季节性供水波动：约占整体风险的 38.3%。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历史干旱暴露：约占整体风险的 17.2%。</w:t>
      </w:r>
    </w:p>
    <w:p>
      <w:pPr>
        <w:spacing w:after="120" w:line="300" w:lineRule="auto"/>
      </w:pPr>
      <w:r>
        <w:rPr>
          <w:rFonts w:ascii="Noto Sans CJK SC" w:hAnsi="Noto Sans CJK SC" w:eastAsia="Noto Sans CJK SC"/>
        </w:rPr>
        <w:t>当前风险主要由长期水资源紧张驱动。企业在评估采购安全时，应优先关注这一风险因素与采购集中度的叠加影响。</w:t>
      </w:r>
    </w:p>
    <w:p>
      <w:r>
        <w:rPr>
          <w:rFonts w:ascii="Noto Sans CJK SC" w:hAnsi="Noto Sans CJK SC" w:eastAsia="Noto Sans CJK SC"/>
          <w:b/>
          <w:color w:val="17365D"/>
          <w:sz w:val="32"/>
        </w:rPr>
        <w:t>4. 压力测试：如果关键供应地区发生中断</w:t>
      </w:r>
    </w:p>
    <w:p>
      <w:pPr>
        <w:spacing w:after="120" w:line="300" w:lineRule="auto"/>
      </w:pPr>
      <w:r>
        <w:rPr>
          <w:rFonts w:ascii="Noto Sans CJK SC" w:hAnsi="Noto Sans CJK SC" w:eastAsia="Noto Sans CJK SC"/>
        </w:rPr>
        <w:t>本次测试假设 巴西马托格罗索州 的供应发生 100.0% 中断。直接受影响的采购量约为 65.0%；现有库存可缓冲约 10.0%，替代供应可覆盖约 45.0%，最终仍有约 10.0% 的需求无法满足。</w:t>
      </w:r>
    </w:p>
    <w:p>
      <w:pPr>
        <w:spacing w:after="120" w:line="300" w:lineRule="auto"/>
      </w:pPr>
      <w:r>
        <w:rPr>
          <w:rFonts w:ascii="Noto Sans CJK SC" w:hAnsi="Noto Sans CJK SC" w:eastAsia="Noto Sans CJK SC"/>
        </w:rPr>
        <w:t>这项测试的作用不是预测事件一定会发生，而是帮助企业提前判断：如果主供地区突然失效，当前库存和替代采购能力是否足够。</w:t>
      </w:r>
    </w:p>
    <w:p>
      <w:r>
        <w:rPr>
          <w:rFonts w:ascii="Noto Sans CJK SC" w:hAnsi="Noto Sans CJK SC" w:eastAsia="Noto Sans CJK SC"/>
        </w:rPr>
        <w:drawing>
          <wp:inline xmlns:a="http://schemas.openxmlformats.org/drawingml/2006/main" xmlns:pic="http://schemas.openxmlformats.org/drawingml/2006/picture">
            <wp:extent cx="5577840" cy="26754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ap_v99_fig4_scenari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6754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</w:rPr>
        <w:t>关键供应地区中断后的供应影响</w:t>
      </w:r>
    </w:p>
    <w:p>
      <w:pPr>
        <w:spacing w:after="120" w:line="300" w:lineRule="auto"/>
      </w:pPr>
      <w:r>
        <w:rPr>
          <w:rFonts w:ascii="Noto Sans CJK SC" w:hAnsi="Noto Sans CJK SC" w:eastAsia="Noto Sans CJK SC"/>
        </w:rPr>
        <w:t>在假设巴西马托格罗索州发生100.0%供应中断的压力测试中，直接受影响的采购量约为65.0%。库存可缓冲约10.0%，替代供应可覆盖约45.0%，仍有约10.0%的需求无法满足。这说明企业需要提前准备库存和备选来源，而不能只依赖单一主供地区。</w:t>
      </w:r>
    </w:p>
    <w:p>
      <w:r>
        <w:rPr>
          <w:rFonts w:ascii="Noto Sans CJK SC" w:hAnsi="Noto Sans CJK SC" w:eastAsia="Noto Sans CJK SC"/>
          <w:b/>
          <w:color w:val="17365D"/>
          <w:sz w:val="32"/>
        </w:rPr>
        <w:t>5. AI 风险判断与管理建议</w:t>
      </w:r>
    </w:p>
    <w:p>
      <w:pPr>
        <w:spacing w:after="120" w:line="300" w:lineRule="auto"/>
      </w:pPr>
      <w:r>
        <w:rPr>
          <w:rFonts w:ascii="Noto Sans CJK SC" w:hAnsi="Noto Sans CJK SC" w:eastAsia="Noto Sans CJK SC"/>
        </w:rPr>
        <w:t>以下建议由 AI 基于本次确定性风险结果、供应地区贡献和压力测试结果生成，用于帮助采购、供应链与 ESG 团队确定行动顺序。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优先级</w:t>
            </w:r>
          </w:p>
        </w:tc>
        <w:tc>
          <w:tcPr>
            <w:tcW w:type="dxa" w:w="2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管理对象</w:t>
            </w:r>
          </w:p>
        </w:tc>
        <w:tc>
          <w:tcPr>
            <w:tcW w:type="dxa" w:w="2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建议动作</w:t>
            </w:r>
          </w:p>
        </w:tc>
        <w:tc>
          <w:tcPr>
            <w:tcW w:type="dxa" w:w="2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为什么优先</w:t>
            </w:r>
          </w:p>
        </w:tc>
        <w:tc>
          <w:tcPr>
            <w:tcW w:type="dxa" w:w="2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建议责任/时点</w:t>
            </w:r>
          </w:p>
        </w:tc>
      </w:tr>
      <w:tr>
        <w:tc>
          <w:tcPr>
            <w:tcW w:type="dxa" w:w="2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7365D"/>
                <w:sz w:val="19"/>
              </w:rPr>
              <w:t>高</w:t>
            </w:r>
          </w:p>
        </w:tc>
        <w:tc>
          <w:tcPr>
            <w:tcW w:type="dxa" w:w="2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巴西马托格罗索州</w:t>
            </w:r>
          </w:p>
        </w:tc>
        <w:tc>
          <w:tcPr>
            <w:tcW w:type="dxa" w:w="2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优先核实该地区的真实采购占比、供水稳定性和替代供应来源，并建立持续监测。</w:t>
            </w:r>
          </w:p>
        </w:tc>
        <w:tc>
          <w:tcPr>
            <w:tcW w:type="dxa" w:w="2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当前对整体风险贡献最高（约61.2%）</w:t>
            </w:r>
          </w:p>
        </w:tc>
        <w:tc>
          <w:tcPr>
            <w:tcW w:type="dxa" w:w="2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采购 / 供应链 / ESG / 下一轮采购决策或供应商复核前</w:t>
            </w:r>
          </w:p>
        </w:tc>
      </w:tr>
      <w:tr>
        <w:tc>
          <w:tcPr>
            <w:tcW w:type="dxa" w:w="2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7365D"/>
                <w:sz w:val="19"/>
              </w:rPr>
              <w:t>中</w:t>
            </w:r>
          </w:p>
        </w:tc>
        <w:tc>
          <w:tcPr>
            <w:tcW w:type="dxa" w:w="2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美国中西部(爱荷华/伊利诺伊)</w:t>
            </w:r>
          </w:p>
        </w:tc>
        <w:tc>
          <w:tcPr>
            <w:tcW w:type="dxa" w:w="2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开展专项水风险复核，确认当地水资源压力、干旱与季节波动是否会影响后续采购稳定性。</w:t>
            </w:r>
          </w:p>
        </w:tc>
        <w:tc>
          <w:tcPr>
            <w:tcW w:type="dxa" w:w="2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该地区自身水风险较高，即使采购占比不是最大，也可能形成潜在脆弱点。</w:t>
            </w:r>
          </w:p>
        </w:tc>
        <w:tc>
          <w:tcPr>
            <w:tcW w:type="dxa" w:w="2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ESG / 风控 / 采购 / 下一采购周期前</w:t>
            </w:r>
          </w:p>
        </w:tc>
      </w:tr>
      <w:tr>
        <w:tc>
          <w:tcPr>
            <w:tcW w:type="dxa" w:w="2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7365D"/>
                <w:sz w:val="19"/>
              </w:rPr>
              <w:t>高</w:t>
            </w:r>
          </w:p>
        </w:tc>
        <w:tc>
          <w:tcPr>
            <w:tcW w:type="dxa" w:w="2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关键供应地区中断韧性</w:t>
            </w:r>
          </w:p>
        </w:tc>
        <w:tc>
          <w:tcPr>
            <w:tcW w:type="dxa" w:w="2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明确关键供应地区中断时的库存缓冲、第二供应来源和替代采购额度，并把演练结果纳入采购预案。</w:t>
            </w:r>
          </w:p>
        </w:tc>
        <w:tc>
          <w:tcPr>
            <w:tcW w:type="dxa" w:w="2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当前压力测试仍存在约10.0%的需求缺口。</w:t>
            </w:r>
          </w:p>
        </w:tc>
        <w:tc>
          <w:tcPr>
            <w:tcW w:type="dxa" w:w="2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供应链 / 采购 / 风控 / 尽快建立预案，并至少年度复核一次</w:t>
            </w:r>
          </w:p>
        </w:tc>
      </w:tr>
      <w:tr>
        <w:tc>
          <w:tcPr>
            <w:tcW w:type="dxa" w:w="2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7365D"/>
                <w:sz w:val="19"/>
              </w:rPr>
              <w:t>高</w:t>
            </w:r>
          </w:p>
        </w:tc>
        <w:tc>
          <w:tcPr>
            <w:tcW w:type="dxa" w:w="2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企业真实采购与供应商数据</w:t>
            </w:r>
          </w:p>
        </w:tc>
        <w:tc>
          <w:tcPr>
            <w:tcW w:type="dxa" w:w="2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优先补充真实采购量、供应商产地、库存与替代供应能力，用于替换当前参考或示范数据。</w:t>
            </w:r>
          </w:p>
        </w:tc>
        <w:tc>
          <w:tcPr>
            <w:tcW w:type="dxa" w:w="2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当前结果含参考/代理数据，补齐企业真实数据可显著提高决策可信度。</w:t>
            </w:r>
          </w:p>
        </w:tc>
        <w:tc>
          <w:tcPr>
            <w:tcW w:type="dxa" w:w="2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采购 / 供应链 / ESG / 正式采购结构调整前</w:t>
            </w:r>
          </w:p>
        </w:tc>
      </w:tr>
    </w:tbl>
    <w:p>
      <w:r>
        <w:rPr>
          <w:rFonts w:ascii="Noto Sans CJK SC" w:hAnsi="Noto Sans CJK SC" w:eastAsia="Noto Sans CJK SC"/>
          <w:b/>
          <w:color w:val="17365D"/>
          <w:sz w:val="32"/>
        </w:rPr>
        <w:t>6. 数据可信度与使用说明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本次分析包含参考、代理或示范数据。结果适合用于风险筛查和方案比较，不应直接作为最终采购决策。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当前已识别采购来源覆盖约 100.0%；未识别采购份额约 0.0%。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本次结果包含参考数据或研究假设，适合用于风险筛查和方案比较；正式采购决策前应尽量替换为企业真实数据。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主要参考数据来源包括：Mekonnen &amp; Hoekstra、World Resources Institute (WRI)。详细数据版本与追溯信息已保留在系统后台，不在企业版报告中展开。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本报告用于支持采购与供应链风险管理；重大决策仍需结合成本、质量、合同、供应商尽调与企业内部判断。</w:t>
      </w:r>
    </w:p>
    <w:sectPr w:rsidR="00FC693F" w:rsidRPr="0006063C" w:rsidSect="00034616">
      <w:pgSz w:w="12240" w:h="15840"/>
      <w:pgMar w:top="835" w:right="979" w:bottom="835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Noto Sans CJK SC" w:hAnsi="Noto Sans CJK SC" w:eastAsia="Noto Sans CJK SC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Noto Sans CJK SC" w:hAnsi="Noto Sans CJK SC" w:eastAsia="Noto Sans CJK SC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Noto Sans CJK SC" w:hAnsi="Noto Sans CJK SC" w:eastAsia="Noto Sans CJK S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Noto Sans CJK SC" w:hAnsi="Noto Sans CJK SC" w:eastAsia="Noto Sans CJK S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Noto Sans CJK SC" w:hAnsi="Noto Sans CJK SC" w:eastAsia="Noto Sans CJK S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Noto Sans CJK SC" w:hAnsi="Noto Sans CJK SC" w:eastAsia="Noto Sans CJK SC"/>
    </w:rPr>
  </w:style>
  <w:style w:type="table" w:default="1" w:styleId="TableNormal">
    <w:name w:val="Normal Table"/>
    <w:uiPriority w:val="99"/>
    <w:semiHidden/>
    <w:unhideWhenUsed/>
    <w:rPr>
      <w:rFonts w:ascii="Noto Sans CJK SC" w:hAnsi="Noto Sans CJK SC" w:eastAsia="Noto Sans CJK SC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Noto Sans CJK SC" w:hAnsi="Noto Sans CJK SC" w:eastAsia="Noto Sans CJK SC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Noto Sans CJK SC" w:hAnsi="Noto Sans CJK SC" w:eastAsia="Noto Sans CJK SC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Noto Sans CJK SC" w:hAnsi="Noto Sans CJK SC" w:eastAsia="Noto Sans CJK SC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Noto Sans CJK SC" w:hAnsi="Noto Sans CJK SC" w:eastAsia="Noto Sans CJK SC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Noto Sans CJK SC" w:hAnsi="Noto Sans CJK SC" w:eastAsia="Noto Sans CJK SC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Noto Sans CJK SC" w:hAnsi="Noto Sans CJK SC" w:eastAsia="Noto Sans CJK SC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Noto Sans CJK SC" w:hAnsi="Noto Sans CJK SC" w:eastAsia="Noto Sans CJK SC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Noto Sans CJK SC" w:hAnsi="Noto Sans CJK SC" w:eastAsia="Noto Sans CJK SC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Noto Sans CJK SC" w:hAnsi="Noto Sans CJK SC" w:eastAsia="Noto Sans CJK SC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Noto Sans CJK SC" w:hAnsi="Noto Sans CJK SC" w:eastAsia="Noto Sans CJK SC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Noto Sans CJK SC" w:hAnsi="Noto Sans CJK SC" w:eastAsia="Noto Sans CJK SC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CJK SC" w:hAnsi="Noto Sans CJK SC" w:eastAsia="Noto Sans CJK SC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Noto Sans CJK SC" w:hAnsi="Noto Sans CJK SC" w:eastAsia="Noto Sans CJK SC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Noto Sans CJK SC" w:hAnsi="Noto Sans CJK SC" w:eastAsia="Noto Sans CJK SC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Noto Sans CJK SC" w:hAnsi="Noto Sans CJK SC" w:eastAsia="Noto Sans CJK SC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Noto Sans CJK SC" w:hAnsi="Noto Sans CJK SC" w:eastAsia="Noto Sans CJK SC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Noto Sans CJK SC" w:hAnsi="Noto Sans CJK SC" w:eastAsia="Noto Sans CJK S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Noto Sans CJK SC" w:hAnsi="Noto Sans CJK SC" w:eastAsia="Noto Sans CJK SC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Noto Sans CJK SC" w:hAnsi="Noto Sans CJK SC" w:eastAsia="Noto Sans CJK SC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Noto Sans CJK SC" w:hAnsi="Noto Sans CJK SC" w:eastAsia="Noto Sans CJK SC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SC" w:hAnsi="Noto Sans CJK SC" w:eastAsia="Noto Sans CJK SC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Noto Sans CJK SC" w:hAnsi="Noto Sans CJK SC" w:eastAsia="Noto Sans CJK SC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Noto Sans CJK SC" w:hAnsi="Noto Sans CJK SC" w:eastAsia="Noto Sans CJK SC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Noto Sans CJK SC" w:hAnsi="Noto Sans CJK SC" w:eastAsia="Noto Sans CJK SC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Noto Sans CJK SC" w:hAnsi="Noto Sans CJK SC" w:eastAsia="Noto Sans CJK SC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Noto Sans CJK SC" w:hAnsi="Noto Sans CJK SC" w:eastAsia="Noto Sans CJK SC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Noto Sans CJK SC" w:hAnsi="Noto Sans CJK SC" w:eastAsia="Noto Sans CJK SC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Noto Sans CJK SC" w:hAnsi="Noto Sans CJK SC" w:eastAsia="Noto Sans CJK SC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Noto Sans CJK SC" w:hAnsi="Noto Sans CJK SC" w:eastAsia="Noto Sans CJK SC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Noto Sans CJK SC" w:hAnsi="Noto Sans CJK SC" w:eastAsia="Noto Sans CJK SC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Noto Sans CJK SC" w:hAnsi="Noto Sans CJK SC" w:eastAsia="Noto Sans CJK SC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Noto Sans CJK SC" w:hAnsi="Noto Sans CJK SC" w:eastAsia="Noto Sans CJK SC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