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WaterPulse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甘蔗上游供应链水风险决策报告</w:t>
      </w:r>
    </w:p>
    <w:p>
      <w:pPr>
        <w:jc w:val="center"/>
      </w:pPr>
      <w:r>
        <w:rPr>
          <w:rFonts w:ascii="Noto Sans CJK SC" w:hAnsi="Noto Sans CJK SC" w:eastAsia="Noto Sans CJK SC"/>
          <w:i/>
        </w:rPr>
        <w:t>DEMO_A(制糖示范企业) · 2025</w:t>
      </w:r>
    </w:p>
    <w:p>
      <w:pPr>
        <w:jc w:val="center"/>
      </w:pPr>
      <w:r>
        <w:rPr>
          <w:rFonts w:ascii="Noto Sans CJK SC" w:hAnsi="Noto Sans CJK SC" w:eastAsia="Noto Sans CJK SC"/>
          <w:b/>
          <w:color w:val="C98A16"/>
        </w:rPr>
        <w:t>当前为参考 / 示范数据分析，用于风险筛查与方案比较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1. 管理摘要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甘蔗当前综合相对水风险指数为 0.374。 对采购组合影响最大的供应地区是巴西中南部(圣保罗/米纳斯吉拉斯)，约贡献39.3%的整体风险。 首要风险因素是长期水资源紧张，约占43.4%。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0.374</w:t>
              <w:br/>
              <w:t>综合相对水风险指数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2"/>
              </w:rPr>
              <w:t>巴西中南部(圣保罗/米纳斯吉拉斯)</w:t>
              <w:br/>
              <w:t>贡献约 39.3%</w:t>
            </w:r>
          </w:p>
        </w:tc>
      </w:tr>
      <w:tr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8A70"/>
                <w:sz w:val="22"/>
              </w:rPr>
              <w:t>长期水资源紧张</w:t>
              <w:br/>
              <w:t>约占 43.4%</w:t>
            </w:r>
          </w:p>
        </w:tc>
        <w:tc>
          <w:tcPr>
            <w:tcW w:type="dxa" w:w="5141"/>
            <w:shd w:fill="F5F9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98A16"/>
                <w:sz w:val="22"/>
              </w:rPr>
              <w:t>剩余缺口 0.0%</w:t>
              <w:br/>
              <w:t>主要供应地区中断测试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2. 供应地区风险概览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本节只展示企业真正需要用于采购判断的结果：采购集中在哪里、哪些供应地区对整体风险影响最大，以及需要优先管理的顺序。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290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918c6c5369_fig1_procur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06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当前采购结构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供应地区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采购占比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地区相对水风险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对整体风险贡献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管理优先级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巴西中南部(圣保罗/米纳斯吉拉斯)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0.327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39.3%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优先关注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广西崇左-江州-北海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0.427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28.6%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重点监控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泰国东北部(呵叻/孔敬)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0.421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13.5%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重点监控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云南梁河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0.391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10.5%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澳大利亚昆士兰北部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0.410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4.4%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古巴中部(马坦萨斯)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4.0%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0.344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3.7%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常规监控</w:t>
            </w:r>
          </w:p>
        </w:tc>
      </w:tr>
    </w:tbl>
    <w:p>
      <w:pPr>
        <w:pStyle w:val="ListBullet"/>
        <w:spacing w:after="80"/>
      </w:pPr>
      <w:r>
        <w:rPr>
          <w:rFonts w:ascii="Noto Sans CJK SC" w:hAnsi="Noto Sans CJK SC" w:eastAsia="Noto Sans CJK SC"/>
        </w:rPr>
        <w:t>巴西中南部(圣保罗/米纳斯吉拉斯)是当前最需要优先管理的供应地区，对整体风险的贡献约为39.3%。应优先核实其真实采购量、供水条件和替代供应能力。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3. 主要水风险来源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风险来源用于回答“为什么需要关注这些供应地区”。这里不展示计算公式，只保留企业需要理解的风险构成。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715000" cy="1869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918c6c5369_fig2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9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主要水风险来源及其相对贡献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长期水资源紧张：约占整体风险的 43.4%。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季节性供水波动：约占整体风险的 40.9%。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历史干旱暴露：约占整体风险的 15.7%。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当前风险主要由长期水资源紧张驱动。企业在评估采购安全时，应优先关注这一风险因素与采购集中度的叠加影响。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4. 压力测试：如果关键供应地区发生中断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本次测试假设 巴西中南部(圣保罗/米纳斯吉拉斯) 的供应发生 100.0% 中断。直接受影响的采购量约为 45.0%；现有库存可缓冲约 10.0%，替代供应可覆盖约 35.0%，最终仍有约 0.0% 的需求无法满足。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这项测试的作用不是预测事件一定会发生，而是帮助企业提前判断：如果主供地区突然失效，当前库存和替代采购能力是否足够。</w:t>
      </w:r>
    </w:p>
    <w:p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577840" cy="2675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918c6c5369_fig4_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关键供应地区中断后的供应影响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在假设巴西中南部(圣保罗/米纳斯吉拉斯)发生100.0%供应中断的压力测试中，直接受影响的采购量约为45.0%。库存可缓冲约10.0%，替代供应可覆盖约35.0%，仍有约0.0%的需求无法满足。这说明企业需要提前准备库存和备选来源，而不能只依赖单一主供地区。</w:t>
      </w:r>
    </w:p>
    <w:p>
      <w:r>
        <w:rPr>
          <w:rFonts w:ascii="Noto Sans CJK SC" w:hAnsi="Noto Sans CJK SC" w:eastAsia="Noto Sans CJK SC"/>
          <w:b/>
          <w:color w:val="17365D"/>
          <w:sz w:val="32"/>
        </w:rPr>
        <w:t>5. AI 风险判断与管理建议</w:t>
      </w:r>
    </w:p>
    <w:p>
      <w:pPr>
        <w:spacing w:after="120" w:line="300" w:lineRule="auto"/>
      </w:pPr>
      <w:r>
        <w:rPr>
          <w:rFonts w:ascii="Noto Sans CJK SC" w:hAnsi="Noto Sans CJK SC" w:eastAsia="Noto Sans CJK SC"/>
        </w:rPr>
        <w:t>以下建议由 AI 基于本次确定性风险结果、供应地区贡献和压力测试结果生成，用于帮助采购、供应链与 ESG 团队确定行动顺序。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管理对象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建议动作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为什么优先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建议责任/时点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巴西中南部(圣保罗/米纳斯吉拉斯)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优先核实该地区的真实采购占比、供水稳定性和替代供应来源，并建立持续监测。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当前对整体风险贡献最高（约39.3%）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下一轮采购决策或供应商复核前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中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广西崇左-江州-北海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开展专项水风险复核，确认当地水资源压力、干旱与季节波动是否会影响后续采购稳定性。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该地区自身水风险较高，即使采购占比不是最大，也可能形成潜在脆弱点。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ESG / 风控 / 采购 / 下一采购周期前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关键供应地区中断韧性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明确关键供应地区中断时的库存缓冲、第二供应来源和替代采购额度，并把演练结果纳入采购预案。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当前压力测试仍存在约0.0%的需求缺口。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供应链 / 采购 / 风控 / 尽快建立预案，并至少年度复核一次</w:t>
            </w:r>
          </w:p>
        </w:tc>
      </w:tr>
      <w:tr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7365D"/>
                <w:sz w:val="19"/>
              </w:rPr>
              <w:t>高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企业真实采购与供应商数据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优先补充真实采购量、供应商产地、库存与替代供应能力，用于替换当前参考或示范数据。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当前结果含参考/代理数据，补齐企业真实数据可显著提高决策可信度。</w:t>
            </w:r>
          </w:p>
        </w:tc>
        <w:tc>
          <w:tcPr>
            <w:tcW w:type="dxa" w:w="2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采购 / 供应链 / ESG / 正式采购结构调整前</w:t>
            </w:r>
          </w:p>
        </w:tc>
      </w:tr>
    </w:tbl>
    <w:p>
      <w:r>
        <w:rPr>
          <w:rFonts w:ascii="Noto Sans CJK SC" w:hAnsi="Noto Sans CJK SC" w:eastAsia="Noto Sans CJK SC"/>
          <w:b/>
          <w:color w:val="17365D"/>
          <w:sz w:val="32"/>
        </w:rPr>
        <w:t>6. 数据可信度与使用说明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本次分析包含参考、代理或示范数据。结果适合用于风险筛查和方案比较，不应直接作为最终采购决策。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当前已识别采购来源覆盖约 100.0%；未识别采购份额约 0.0%。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本次结果包含参考数据或研究假设，适合用于风险筛查和方案比较；正式采购决策前应尽量替换为企业真实数据。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主要参考数据来源包括：Mekonnen &amp; Hoekstra、World Resources Institute (WRI)。详细数据版本与追溯信息已保留在系统后台，不在企业版报告中展开。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本报告用于支持采购与供应链风险管理；重大决策仍需结合成本、质量、合同、供应商尽调与企业内部判断。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