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WaterPulse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原材料上游供应链水风险决策报告</w:t>
      </w:r>
    </w:p>
    <w:p>
      <w:pPr>
        <w:jc w:val="center"/>
      </w:pPr>
      <w:r>
        <w:rPr>
          <w:rFonts w:ascii="Noto Sans CJK SC" w:hAnsi="Noto Sans CJK SC" w:eastAsia="Noto Sans CJK SC"/>
          <w:i/>
        </w:rPr>
        <w:t>本次分析企业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1. 管理摘要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本次已完成上游供应链水风险分析，以下展示关键结果与管理建议。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不可计算</w:t>
              <w:br/>
              <w:t>综合相对水风险指数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不可计算</w:t>
              <w:br/>
              <w:t>首要关注供应地区</w:t>
            </w:r>
          </w:p>
        </w:tc>
      </w:tr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8A70"/>
                <w:sz w:val="22"/>
              </w:rPr>
              <w:t>不可计算</w:t>
              <w:br/>
              <w:t>首要风险因素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98A16"/>
                <w:sz w:val="22"/>
              </w:rPr>
              <w:t>未运行</w:t>
              <w:br/>
              <w:t>压力测试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2. 供应地区风险概览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本节只展示企业真正需要用于采购判断的结果：采购集中在哪里、哪些供应地区对整体风险影响最大，以及需要优先管理的顺序。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3. 主要水风险来源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风险来源用于回答“为什么需要关注这些供应地区”。这里不展示计算公式，只保留企业需要理解的风险构成。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4. 压力测试：如果关键供应地区发生中断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本次没有运行压力测试。若企业需要评估关键供应地区中断后的库存和替代供应能力，可在 WaterPulse 中继续运行该测试。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5. AI 风险判断与管理建议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以下建议由 AI 基于本次确定性风险结果、供应地区贡献和压力测试结果生成，用于帮助采购、供应链与 ESG 团队确定行动顺序。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优先核实高贡献供应地区的采购占比、供水稳定性与替代来源。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将关键地区纳入常态化水风险监测，并把库存和第二供应来源纳入采购预案。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在正式调整采购结构前，用企业真实供应商和采购数据替换当前参考或示范参数。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6. 数据可信度与使用说明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当前结果用于相对风险筛查，重大采购决策仍应结合供应商尽调、成本、质量和合同条件人工复核。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本报告用于支持采购与供应链风险管理；重大决策仍需结合成本、质量、合同、供应商尽调与企业内部判断。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