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</w:rPr>
        <w:t>Water Risk Copilot 风险管理简报</w:t>
      </w:r>
    </w:p>
    <w:p>
      <w:r>
        <w:rPr>
          <w:rFonts w:ascii="Noto Sans CJK SC" w:hAnsi="Noto Sans CJK SC" w:eastAsia="Noto Sans CJK SC"/>
        </w:rPr>
        <w:t>生成时间：2026-09-10 16:34:37</w:t>
      </w:r>
    </w:p>
    <w:p>
      <w:r>
        <w:rPr>
          <w:rFonts w:ascii="Noto Sans CJK SC" w:hAnsi="Noto Sans CJK SC" w:eastAsia="Noto Sans CJK SC"/>
        </w:rPr>
        <w:t>Input Snapshot：snap_d5bf14584e</w:t>
      </w:r>
    </w:p>
    <w:p>
      <w:pPr>
        <w:pStyle w:val="Heading1"/>
      </w:pPr>
      <w:r>
        <w:rPr>
          <w:rFonts w:ascii="Noto Sans CJK SC" w:hAnsi="Noto Sans CJK SC" w:eastAsia="Noto Sans CJK SC"/>
        </w:rPr>
        <w:t>1. 数据质量与计算状态</w:t>
      </w:r>
    </w:p>
    <w:p>
      <w:r>
        <w:rPr>
          <w:rFonts w:ascii="Noto Sans CJK SC" w:hAnsi="Noto Sans CJK SC" w:eastAsia="Noto Sans CJK SC"/>
        </w:rPr>
        <w:t>状态：success</w:t>
      </w:r>
    </w:p>
    <w:p>
      <w:r>
        <w:rPr>
          <w:rFonts w:ascii="Noto Sans CJK SC" w:hAnsi="Noto Sans CJK SC" w:eastAsia="Noto Sans CJK SC"/>
        </w:rPr>
        <w:t>Coverage：{'甘蔗': 1.0}</w:t>
      </w:r>
    </w:p>
    <w:p>
      <w:pPr>
        <w:pStyle w:val="Heading1"/>
      </w:pPr>
      <w:r>
        <w:rPr>
          <w:rFonts w:ascii="Noto Sans CJK SC" w:hAnsi="Noto Sans CJK SC" w:eastAsia="Noto Sans CJK SC"/>
        </w:rPr>
        <w:t>2. Baseline 结果与解释</w:t>
      </w:r>
    </w:p>
    <w:p>
      <w:pPr>
        <w:pStyle w:val="Heading2"/>
      </w:pPr>
      <w:r>
        <w:rPr>
          <w:rFonts w:ascii="Noto Sans CJK SC" w:hAnsi="Noto Sans CJK SC" w:eastAsia="Noto Sans CJK SC"/>
        </w:rPr>
        <w:t>甘蔗 当前水风险分析</w:t>
      </w:r>
    </w:p>
    <w:p>
      <w:pPr>
        <w:pStyle w:val="ListBullet"/>
      </w:pPr>
      <w:r>
        <w:rPr>
          <w:rFonts w:ascii="Noto Sans CJK SC" w:hAnsi="Noto Sans CJK SC" w:eastAsia="Noto Sans CJK SC"/>
        </w:rPr>
        <w:t>PRWI：0.3737；采购覆盖率 100.0%，可评分覆盖率 100.0%；风险区间 [0.3737, 0.3737]。</w:t>
      </w:r>
    </w:p>
    <w:p>
      <w:pPr>
        <w:pStyle w:val="ListBullet"/>
      </w:pPr>
      <w:r>
        <w:rPr>
          <w:rFonts w:ascii="Noto Sans CJK SC" w:hAnsi="Noto Sans CJK SC" w:eastAsia="Noto Sans CJK SC"/>
        </w:rPr>
        <w:t>主要风险驱动：水压力（WS），约占当前路径贡献的 33.3%。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企业优先关注节点：巴西中南部(圣保罗/米纳斯吉拉斯)（SC03），贡献 C=0.1470，约占组合贡献 39.3%。</w:t>
      </w:r>
    </w:p>
    <w:p>
      <w:pPr>
        <w:pStyle w:val="ListBullet"/>
      </w:pPr>
      <w:r>
        <w:rPr>
          <w:rFonts w:ascii="Noto Sans CJK SC" w:hAnsi="Noto Sans CJK SC" w:eastAsia="Noto Sans CJK SC"/>
        </w:rPr>
        <w:t>节点自身风险较高：广西崇左-江州-北海（SC01），R=0.4275。 它与最高贡献节点不同，说明采购权重会改变企业层面的优先级。</w:t>
      </w:r>
    </w:p>
    <w:p>
      <w:pPr>
        <w:pStyle w:val="ListBullet"/>
      </w:pPr>
      <w:r>
        <w:rPr>
          <w:rFonts w:ascii="Noto Sans CJK SC" w:hAnsi="Noto Sans CJK SC" w:eastAsia="Noto Sans CJK SC"/>
        </w:rPr>
        <w:t>数据与证据边界：请同时查看 Unknown、Proxy/Assumption、Confidence 与来源。示范采购结构不得表述为真实企业采购敞口。</w:t>
      </w:r>
    </w:p>
    <w:p>
      <w:pPr>
        <w:pStyle w:val="ListBullet"/>
      </w:pPr>
      <w:r>
        <w:rPr>
          <w:rFonts w:ascii="Noto Sans CJK SC" w:hAnsi="Noto Sans CJK SC" w:eastAsia="Noto Sans CJK SC"/>
        </w:rPr>
        <w:t>建议：优先核验高贡献节点的真实采购份额与供应连续性；对高风险节点强化水风险监测，并结合库存和替代来源开展压力测试。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材料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PRWI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Coverage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下界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上界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Unknown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甘蔗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0.3737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100.0%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0.3737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0.3737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0.0000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3. Scenario 结果与解释</w:t>
      </w:r>
    </w:p>
    <w:p>
      <w:pPr>
        <w:pStyle w:val="Heading2"/>
      </w:pPr>
      <w:r>
        <w:rPr>
          <w:rFonts w:ascii="Noto Sans CJK SC" w:hAnsi="Noto Sans CJK SC" w:eastAsia="Noto Sans CJK SC"/>
        </w:rPr>
        <w:t>核心节点失效情景</w:t>
      </w:r>
    </w:p>
    <w:p>
      <w:pPr>
        <w:pStyle w:val="ListBullet"/>
      </w:pPr>
      <w:r>
        <w:rPr>
          <w:rFonts w:ascii="Noto Sans CJK SC" w:hAnsi="Noto Sans CJK SC" w:eastAsia="Noto Sans CJK SC"/>
        </w:rPr>
        <w:t>失效节点：巴西中南部(圣保罗/米纳斯吉拉斯)（SC03），失效比例=100%。</w:t>
      </w:r>
    </w:p>
    <w:p>
      <w:pPr>
        <w:pStyle w:val="ListBullet"/>
      </w:pPr>
      <w:r>
        <w:rPr>
          <w:rFonts w:ascii="Noto Sans CJK SC" w:hAnsi="Noto Sans CJK SC" w:eastAsia="Noto Sans CJK SC"/>
        </w:rPr>
        <w:t>Gross Loss=0.4500，库存使用=0.1000，替代供应=0.3500，未满足需求=0.0000。</w:t>
      </w:r>
    </w:p>
    <w:p>
      <w:pPr>
        <w:pStyle w:val="ListBullet"/>
      </w:pPr>
      <w:r>
        <w:rPr>
          <w:rFonts w:ascii="Noto Sans CJK SC" w:hAnsi="Noto Sans CJK SC" w:eastAsia="Noto Sans CJK SC"/>
        </w:rPr>
        <w:t>Conditional PRWI=0.4025；采购 HHI=0.2106，风险 HHI=0.2155。</w:t>
      </w:r>
    </w:p>
    <w:p>
      <w:pPr>
        <w:pStyle w:val="ListBullet"/>
      </w:pPr>
      <w:r>
        <w:rPr>
          <w:rFonts w:ascii="Noto Sans CJK SC" w:hAnsi="Noto Sans CJK SC" w:eastAsia="Noto Sans CJK SC"/>
        </w:rPr>
        <w:t>风险质量下降不等于企业更安全；必须同时看未满足需求、替代能力和集中度。</w:t>
      </w:r>
    </w:p>
    <w:p>
      <w:pPr>
        <w:pStyle w:val="ListBullet"/>
      </w:pPr>
      <w:r>
        <w:rPr>
          <w:rFonts w:ascii="Noto Sans CJK SC" w:hAnsi="Noto Sans CJK SC" w:eastAsia="Noto Sans CJK SC"/>
        </w:rPr>
        <w:t>情景边界：库存与替代容量为 S 类/参考情景参数；真实企业应用需替换为企业实际数据。</w:t>
      </w:r>
    </w:p>
    <w:p>
      <w:pPr>
        <w:pStyle w:val="Heading1"/>
      </w:pPr>
      <w:r>
        <w:rPr>
          <w:rFonts w:ascii="Noto Sans CJK SC" w:hAnsi="Noto Sans CJK SC" w:eastAsia="Noto Sans CJK SC"/>
        </w:rPr>
        <w:t>4. 管理建议与边界</w:t>
      </w:r>
    </w:p>
    <w:p>
      <w:r>
        <w:rPr>
          <w:rFonts w:ascii="Noto Sans CJK SC" w:hAnsi="Noto Sans CJK SC" w:eastAsia="Noto Sans CJK SC"/>
        </w:rPr>
        <w:t>优先核验高贡献节点的真实采购信息；对高风险节点进行持续监测；必要时配置库存与替代供应。所有真实采购调整、供应商替换和投资决策均需人工确认。</w:t>
      </w:r>
    </w:p>
    <w:p>
      <w:r>
        <w:rPr>
          <w:rFonts w:ascii="Noto Sans CJK SC" w:hAnsi="Noto Sans CJK SC" w:eastAsia="Noto Sans CJK SC"/>
        </w:rPr>
        <w:t>PRWI 为相对风险筛查指数，不是损失概率或财务预测。Future demo、OA、库存/替代等情景假设必须显式披露。</w:t>
      </w:r>
    </w:p>
    <w:p>
      <w:pPr>
        <w:pStyle w:val="Heading1"/>
      </w:pPr>
      <w:r>
        <w:rPr>
          <w:rFonts w:ascii="Noto Sans CJK SC" w:hAnsi="Noto Sans CJK SC" w:eastAsia="Noto Sans CJK SC"/>
        </w:rPr>
        <w:t>5. 版本与可追溯信息</w:t>
      </w:r>
    </w:p>
    <w:p>
      <w:r>
        <w:rPr>
          <w:rFonts w:ascii="Noto Sans CJK SC" w:hAnsi="Noto Sans CJK SC" w:eastAsia="Noto Sans CJK SC"/>
        </w:rPr>
        <w:t>Baseline model: v2.0；Scenario engine: v2.0；Data bundle: 2026-09-06-integrated-mvp。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/>
    </w:rPr>
  </w:style>
  <w:style w:type="table" w:default="1" w:styleId="TableNormal">
    <w:name w:val="Normal Table"/>
    <w:uiPriority w:val="99"/>
    <w:semiHidden/>
    <w:unhideWhenUsed/>
    <w:rPr>
      <w:rFonts w:ascii="Noto Sans CJK SC" w:hAnsi="Noto Sans CJK SC" w:eastAsia="Noto Sans CJK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