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Aria Smart Thermostat</w:t>
      </w:r>
    </w:p>
    <w:p>
      <w:r>
        <w:t>Software Requirements Specification (fabricated example document)</w:t>
      </w:r>
    </w:p>
    <w:p>
      <w:pPr>
        <w:pStyle w:val="Heading2"/>
      </w:pPr>
      <w:r>
        <w:t>3.1 Power Management</w:t>
      </w:r>
    </w:p>
    <w:p>
      <w:r>
        <w:t>REQ-DEMO-001 Low-power standby</w:t>
      </w:r>
    </w:p>
    <w:p>
      <w:r>
        <w:t>Description: The thermostat shall enter standby mode after 120 seconds of no user interaction and no active heating or cooling demand.</w:t>
      </w:r>
    </w:p>
    <w:p>
      <w:r>
        <w:t>REQ-DEMO-002 Battery backup runtime</w:t>
      </w:r>
    </w:p>
    <w:p>
      <w:r>
        <w:t>Description: On mains power loss, the thermostat shall maintain display and sensor operation for at least 4 hours from the internal battery.</w:t>
      </w:r>
    </w:p>
    <w:p>
      <w:r>
        <w:t>REQ-DEMO-003 Charge indicator</w:t>
      </w:r>
    </w:p>
    <w:p>
      <w:r>
        <w:t>Description: The thermostat shall display a battery charge indicator whenever charge is below 20%.</w:t>
      </w:r>
    </w:p>
    <w:p>
      <w:r>
        <w:drawing>
          <wp:inline xmlns:a="http://schemas.openxmlformats.org/drawingml/2006/main" xmlns:pic="http://schemas.openxmlformats.org/drawingml/2006/picture">
            <wp:extent cx="3657600" cy="1341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4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System Overview</w:t>
      </w:r>
    </w:p>
    <w:p>
      <w:pPr>
        <w:pStyle w:val="Heading2"/>
      </w:pPr>
      <w:r>
        <w:t>3.2 User Interface</w:t>
      </w:r>
    </w:p>
    <w:p>
      <w:r>
        <w:t>REQ-DEMO-004 Setpoint adjustment</w:t>
      </w:r>
    </w:p>
    <w:p>
      <w:r>
        <w:t>Description: The user shall be able to adjust the target temperature in 0.5 degree increments using the front-panel dial.</w:t>
      </w:r>
    </w:p>
    <w:p>
      <w:r>
        <w:t>REQ-DEMO-005 Display readability</w:t>
      </w:r>
    </w:p>
    <w:p>
      <w:r>
        <w:t>Description: The display shall remain readable under direct sunlight of up to 10,000 lux.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