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17365D"/>
          <w:sz w:val="46"/>
        </w:rPr>
        <w:t>S9 资料全量审读与外部链接归档报告</w:t>
      </w:r>
    </w:p>
    <w:p>
      <w:pPr>
        <w:spacing w:after="240"/>
      </w:pPr>
      <w:r>
        <w:rPr>
          <w:color w:val="666666"/>
          <w:sz w:val="24"/>
        </w:rPr>
        <w:t>覆盖 S9 五题、历届赛题工作簿、往届开源仓库、赛事与云资源材料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shd w:fill="DCE6F1"/>
            <w:vAlign w:val="top"/>
          </w:tcPr>
          <w:p>
            <w:r>
              <w:rPr>
                <w:b/>
              </w:rPr>
              <w:t>审计日期</w:t>
            </w:r>
          </w:p>
        </w:tc>
        <w:tc>
          <w:tcPr>
            <w:tcW w:type="dxa" w:w="6660"/>
            <w:vAlign w:val="top"/>
          </w:tcPr>
          <w:p>
            <w:r>
              <w:t>2026-07-25</w:t>
            </w:r>
          </w:p>
        </w:tc>
      </w:tr>
      <w:tr>
        <w:tc>
          <w:tcPr>
            <w:tcW w:type="dxa" w:w="2700"/>
            <w:shd w:fill="DCE6F1"/>
            <w:vAlign w:val="top"/>
          </w:tcPr>
          <w:p>
            <w:r>
              <w:rPr>
                <w:b/>
              </w:rPr>
              <w:t>唯一外部链接</w:t>
            </w:r>
          </w:p>
        </w:tc>
        <w:tc>
          <w:tcPr>
            <w:tcW w:type="dxa" w:w="6660"/>
            <w:vAlign w:val="top"/>
          </w:tcPr>
          <w:p>
            <w:r>
              <w:t>167</w:t>
            </w:r>
          </w:p>
        </w:tc>
      </w:tr>
      <w:tr>
        <w:tc>
          <w:tcPr>
            <w:tcW w:type="dxa" w:w="2700"/>
            <w:shd w:fill="DCE6F1"/>
            <w:vAlign w:val="top"/>
          </w:tcPr>
          <w:p>
            <w:r>
              <w:rPr>
                <w:b/>
              </w:rPr>
              <w:t>仓库拉取</w:t>
            </w:r>
          </w:p>
        </w:tc>
        <w:tc>
          <w:tcPr>
            <w:tcW w:type="dxa" w:w="6660"/>
            <w:vAlign w:val="top"/>
          </w:tcPr>
          <w:p>
            <w:r>
              <w:t>43 成功 / 70 失败</w:t>
            </w:r>
          </w:p>
        </w:tc>
      </w:tr>
      <w:tr>
        <w:tc>
          <w:tcPr>
            <w:tcW w:type="dxa" w:w="2700"/>
            <w:shd w:fill="DCE6F1"/>
            <w:vAlign w:val="top"/>
          </w:tcPr>
          <w:p>
            <w:r>
              <w:rPr>
                <w:b/>
              </w:rPr>
              <w:t>网页归档</w:t>
            </w:r>
          </w:p>
        </w:tc>
        <w:tc>
          <w:tcPr>
            <w:tcW w:type="dxa" w:w="6660"/>
            <w:vAlign w:val="top"/>
          </w:tcPr>
          <w:p>
            <w:r>
              <w:t>97 成功 / 70 失败</w:t>
            </w:r>
          </w:p>
        </w:tc>
      </w:tr>
    </w:tbl>
    <w:p/>
    <w:p>
      <w:pPr>
        <w:pStyle w:val="Heading1"/>
      </w:pPr>
      <w:r>
        <w:t>1. 结论先行</w:t>
      </w:r>
    </w:p>
    <w:p>
      <w:r>
        <w:t>是的，Concat 的差结果与此前没有完整按题目规格设计直接相关。当前实现只覆盖 FP16、二维/末维快路径，而题目明确要求任意 rank、任意合法 dim、多 dtype、非对齐和动态输入列表。Case1 只证明样例快路径可运行，不能证明实现满足赛题。</w:t>
      </w:r>
    </w:p>
    <w:p>
      <w:pPr>
        <w:pStyle w:val="ListBullet"/>
        <w:spacing w:after="80" w:line="300" w:lineRule="auto"/>
        <w:ind w:left="540" w:hanging="271"/>
      </w:pPr>
      <w:r>
        <w:t>已逐项重新读取 9 个赛题工作簿并提取 40 个技术文档链接；S9 的 6 个 PyTorch 2.5 页面均已保存。</w:t>
      </w:r>
    </w:p>
    <w:p>
      <w:pPr>
        <w:pStyle w:val="ListBullet"/>
        <w:spacing w:after="80" w:line="300" w:lineRule="auto"/>
        <w:ind w:left="540" w:hanging="271"/>
      </w:pPr>
      <w:r>
        <w:t>Word 正文之外的 HYPERLINK 字段、PDF 注释链接也已纳入，总计 167 个唯一链接。</w:t>
      </w:r>
    </w:p>
    <w:p>
      <w:pPr>
        <w:pStyle w:val="ListBullet"/>
        <w:spacing w:after="80" w:line="300" w:lineRule="auto"/>
        <w:ind w:left="540" w:hanging="271"/>
      </w:pPr>
      <w:r>
        <w:t>113 个往届仓库链接逐一尝试完整 clone：43 个成功，70 个失败；成功仓库保留 .git、分支和 HEAD。</w:t>
      </w:r>
    </w:p>
    <w:p>
      <w:pPr>
        <w:pStyle w:val="ListBullet"/>
        <w:spacing w:after="80" w:line="300" w:lineRule="auto"/>
        <w:ind w:left="540" w:hanging="271"/>
      </w:pPr>
      <w:r>
        <w:t>43 个成功仓库已建立代码审读矩阵，覆盖 1396 个索引文件、401 个 C/C++ 源文件。</w:t>
      </w:r>
    </w:p>
    <w:p>
      <w:pPr>
        <w:pStyle w:val="ListBullet"/>
        <w:spacing w:after="80" w:line="300" w:lineRule="auto"/>
        <w:ind w:left="540" w:hanging="271"/>
      </w:pPr>
      <w:r>
        <w:t>敏感文件 GCC.pem 未复制到资料包。</w:t>
      </w:r>
    </w:p>
    <w:p>
      <w:pPr>
        <w:pStyle w:val="Heading1"/>
      </w:pPr>
      <w:r>
        <w:t>2. S9 五题完整规格与当前缺口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0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235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完整规格</w:t>
            </w:r>
          </w:p>
        </w:tc>
        <w:tc>
          <w:tcPr>
            <w:tcW w:type="dxa" w:w="210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190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1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Concat</w:t>
            </w:r>
          </w:p>
        </w:tc>
        <w:tc>
          <w:tcPr>
            <w:tcW w:type="dxa" w:w="2350"/>
            <w:vAlign w:val="top"/>
          </w:tcPr>
          <w:p>
            <w:pPr>
              <w:spacing w:after="40"/>
            </w:pPr>
            <w:r>
              <w:rPr>
                <w:sz w:val="17"/>
              </w:rPr>
              <w:t>Tensor[]；dim 默认 0；float32/float16/int32/int8；任意 rank 和合法 dim；除拼接轴外形状一致；允许 1D 空张量和长度 0 分片；非对齐。</w:t>
            </w:r>
          </w:p>
        </w:tc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7"/>
              </w:rPr>
              <w:t>仅 FP16，kernel 把最后一维当拼接轴；host 虽按 dim 推输出 shape，但 tiling/kernel 不使用 dim；地址数组只容纳 16 个输入。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7"/>
              </w:rPr>
              <w:t>直接解释 Case1 通过、Case2–5 Run failed。隐藏用例只要改变 dtype、rank、dim、输入数或尾块就可能失败。</w:t>
            </w:r>
          </w:p>
        </w:tc>
        <w:tc>
          <w:tcPr>
            <w:tcW w:type="dxa" w:w="2110"/>
            <w:vAlign w:val="top"/>
          </w:tcPr>
          <w:p>
            <w:pPr>
              <w:spacing w:after="40"/>
            </w:pPr>
            <w:r>
              <w:rPr>
                <w:sz w:val="17"/>
              </w:rPr>
              <w:t>通用 N-D fallback + last-axis 快路径；动态输入数；0 长度输入；尾块 DataCopyPad；多 dtype。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Greater</w:t>
            </w:r>
          </w:p>
        </w:tc>
        <w:tc>
          <w:tcPr>
            <w:tcW w:type="dxa" w:w="2350"/>
            <w:vAlign w:val="top"/>
          </w:tcPr>
          <w:p>
            <w:pPr>
              <w:spacing w:after="40"/>
            </w:pPr>
            <w:r>
              <w:rPr>
                <w:sz w:val="17"/>
              </w:rPr>
              <w:t>self/other；float32/bfloat16/float16/int32/int8；输出 bool；支持广播；覆盖 inf、-inf、NaN。</w:t>
            </w:r>
          </w:p>
        </w:tc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7"/>
              </w:rPr>
              <w:t>仅 FP16 等形；输出 shape 直接等于 self；整张量进 UB；以 SubRelu/Mins/Cast 代替 Compare。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7"/>
              </w:rPr>
              <w:t>广播不成立，较大张量 UB 超限；NaN/Inf、溢出和非对齐都可能产生错误或运行失败。</w:t>
            </w:r>
          </w:p>
        </w:tc>
        <w:tc>
          <w:tcPr>
            <w:tcW w:type="dxa" w:w="2110"/>
            <w:vAlign w:val="top"/>
          </w:tcPr>
          <w:p>
            <w:pPr>
              <w:spacing w:after="40"/>
            </w:pPr>
            <w:r>
              <w:rPr>
                <w:sz w:val="17"/>
              </w:rPr>
              <w:t>广播步长映射；原生比较语义；分块；多 dtype；特殊值回归。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IndexAdd</w:t>
            </w:r>
          </w:p>
        </w:tc>
        <w:tc>
          <w:tcPr>
            <w:tcW w:type="dxa" w:w="2350"/>
            <w:vAlign w:val="top"/>
          </w:tcPr>
          <w:p>
            <w:pPr>
              <w:spacing w:after="40"/>
            </w:pPr>
            <w:r>
              <w:rPr>
                <w:sz w:val="17"/>
              </w:rPr>
              <w:t>self/index/source；dim 默认 0；index 为 int32 一维向量；source[dim]=len(index)，其他维匹配 self；重复 index 必须累加；输出从 self 开始。</w:t>
            </w:r>
          </w:p>
        </w:tc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7"/>
              </w:rPr>
              <w:t>忽略 self；仅 int8、二维、dim=0；空 index 有 blockDim=0 风险；source/out 非对齐复制未覆盖。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7"/>
              </w:rPr>
              <w:t>当前实现不满足基础定义；重复索引、任意维度和其他 dtype 均不可靠。</w:t>
            </w:r>
          </w:p>
        </w:tc>
        <w:tc>
          <w:tcPr>
            <w:tcW w:type="dxa" w:w="2110"/>
            <w:vAlign w:val="top"/>
          </w:tcPr>
          <w:p>
            <w:pPr>
              <w:spacing w:after="40"/>
            </w:pPr>
            <w:r>
              <w:rPr>
                <w:sz w:val="17"/>
              </w:rPr>
              <w:t>先复制 self；重复 index 正确累加；任意 rank/dim；冲突策略；多 dtype 和尾块。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Transpose</w:t>
            </w:r>
          </w:p>
        </w:tc>
        <w:tc>
          <w:tcPr>
            <w:tcW w:type="dxa" w:w="2350"/>
            <w:vAlign w:val="top"/>
          </w:tcPr>
          <w:p>
            <w:pPr>
              <w:spacing w:after="40"/>
            </w:pPr>
            <w:r>
              <w:rPr>
                <w:sz w:val="17"/>
              </w:rPr>
              <w:t>input + dims 列表；float32/float16/int32/int8；最高 6D 任意排列；非对齐。</w:t>
            </w:r>
          </w:p>
        </w:tc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7"/>
              </w:rPr>
              <w:t>仅 FP16 二维交换；忽略 dims；仅处理 16×16 整块；任一维小于 16 时 totalTiles=0。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7"/>
              </w:rPr>
              <w:t>任意排列、尾块、非二维都不支持，且小尺寸存在除零/零核风险。</w:t>
            </w:r>
          </w:p>
        </w:tc>
        <w:tc>
          <w:tcPr>
            <w:tcW w:type="dxa" w:w="2110"/>
            <w:vAlign w:val="top"/>
          </w:tcPr>
          <w:p>
            <w:pPr>
              <w:spacing w:after="40"/>
            </w:pPr>
            <w:r>
              <w:rPr>
                <w:sz w:val="17"/>
              </w:rPr>
              <w:t>通用坐标映射；尾块；2D 16×16 快路径；任意 dims/rank/dtype。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SquareSumV1</w:t>
            </w:r>
          </w:p>
        </w:tc>
        <w:tc>
          <w:tcPr>
            <w:tcW w:type="dxa" w:w="2350"/>
            <w:vAlign w:val="top"/>
          </w:tcPr>
          <w:p>
            <w:pPr>
              <w:spacing w:after="40"/>
            </w:pPr>
            <w:r>
              <w:rPr>
                <w:sz w:val="17"/>
              </w:rPr>
              <w:t>square 后 sum；axis 为 list_int；keep_dims 默认 false；float16/bfloat16/float32；单轴/多轴/负轴；非对齐。</w:t>
            </w:r>
          </w:p>
        </w:tc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7"/>
              </w:rPr>
              <w:t>仅 FP16 最后一轴；输出 shape 强制保留最后一维；忽略 axis/keep_dims；FP16 先平方再转 FP32。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7"/>
              </w:rPr>
              <w:t>多轴、非末轴、keep_dims=false、BF16/FP32 均不完整；FP16 平方会先溢出或损失精度。</w:t>
            </w:r>
          </w:p>
        </w:tc>
        <w:tc>
          <w:tcPr>
            <w:tcW w:type="dxa" w:w="2110"/>
            <w:vAlign w:val="top"/>
          </w:tcPr>
          <w:p>
            <w:pPr>
              <w:spacing w:after="40"/>
            </w:pPr>
            <w:r>
              <w:rPr>
                <w:sz w:val="17"/>
              </w:rPr>
              <w:t>轴归一化；FP32 中间计算；多轴分阶段或通用回退；正确输出 shape。</w:t>
            </w:r>
          </w:p>
        </w:tc>
      </w:tr>
    </w:tbl>
    <w:p/>
    <w:p>
      <w:pPr>
        <w:pStyle w:val="Heading1"/>
      </w:pPr>
      <w:r>
        <w:t>3. Concat 线上结果复盘</w:t>
      </w:r>
    </w:p>
    <w:p>
      <w:r>
        <w:t>线上结果：Case1 Pass，10.948 μs；Case2–Case5 Run failed。</w:t>
      </w:r>
    </w:p>
    <w:p>
      <w:pPr>
        <w:pStyle w:val="ListBullet"/>
        <w:spacing w:after="80" w:line="300" w:lineRule="auto"/>
        <w:ind w:left="540" w:hanging="271"/>
      </w:pPr>
      <w:r>
        <w:t>host 的 InferShape 使用 dim，但 tiling 和 kernel 固定按最后一维解释，dim 非末维时 host/kernel 语义冲突。</w:t>
      </w:r>
    </w:p>
    <w:p>
      <w:pPr>
        <w:pStyle w:val="ListBullet"/>
        <w:spacing w:after="80" w:line="300" w:lineRule="auto"/>
        <w:ind w:left="540" w:hanging="271"/>
      </w:pPr>
      <w:r>
        <w:t>OpDef 只声明 DT_FLOAT16，题目还要求 float32、int32、int8。</w:t>
      </w:r>
    </w:p>
    <w:p>
      <w:pPr>
        <w:pStyle w:val="ListBullet"/>
        <w:spacing w:after="80" w:line="300" w:lineRule="auto"/>
        <w:ind w:left="540" w:hanging="271"/>
      </w:pPr>
      <w:r>
        <w:t>ListTensor 地址数组只有 16 项，题目输入数量为动态列表；隐藏用例可能超过固定容量。</w:t>
      </w:r>
    </w:p>
    <w:p>
      <w:pPr>
        <w:pStyle w:val="ListBullet"/>
        <w:spacing w:after="80" w:line="300" w:lineRule="auto"/>
        <w:ind w:left="540" w:hanging="271"/>
      </w:pPr>
      <w:r>
        <w:t>实现把除最后一维外全部折叠成 outer，只适用于末维拼接；任意 rank 不等于任意 dim。</w:t>
      </w:r>
    </w:p>
    <w:p>
      <w:pPr>
        <w:pStyle w:val="ListBullet"/>
        <w:spacing w:after="80" w:line="300" w:lineRule="auto"/>
        <w:ind w:left="540" w:hanging="271"/>
      </w:pPr>
      <w:r>
        <w:t>性能路径与通用正确路径没有分层，导致样例路径一旦不匹配就直接运行失败，而不是回退。</w:t>
      </w:r>
    </w:p>
    <w:p>
      <w:r>
        <w:t>因此，下一轮不能继续围绕 Case1 做微调。正确架构应先建立全规格通用路径，再为常见 dtype、末维、对齐形状增加快路径。</w:t>
      </w:r>
    </w:p>
    <w:p>
      <w:pPr>
        <w:pStyle w:val="Heading1"/>
      </w:pPr>
      <w:r>
        <w:t>4. 往届优秀代码的可复用经验</w:t>
      </w:r>
    </w:p>
    <w:p>
      <w:pPr>
        <w:pStyle w:val="ListBullet"/>
        <w:spacing w:after="80" w:line="300" w:lineRule="auto"/>
        <w:ind w:left="540" w:hanging="271"/>
      </w:pPr>
      <w:r>
        <w:t>非对齐是常态：43 个成功仓库中 25 个使用 DataCopyPad。尾块必须作为一级设计对象。</w:t>
      </w:r>
    </w:p>
    <w:p>
      <w:pPr>
        <w:pStyle w:val="ListBullet"/>
        <w:spacing w:after="80" w:line="300" w:lineRule="auto"/>
        <w:ind w:left="540" w:hanging="271"/>
      </w:pPr>
      <w:r>
        <w:t>模板化 dtype 是高分代码的常见结构：35 个仓库使用 C++ template，避免复制多份脆弱实现。</w:t>
      </w:r>
    </w:p>
    <w:p>
      <w:pPr>
        <w:pStyle w:val="ListBullet"/>
        <w:spacing w:after="80" w:line="300" w:lineRule="auto"/>
        <w:ind w:left="540" w:hanging="271"/>
      </w:pPr>
      <w:r>
        <w:t>TILING_KEY/模板特化用于把“对齐快路径”和“通用回退路径”分开，不能只保留快路径。</w:t>
      </w:r>
    </w:p>
    <w:p>
      <w:pPr>
        <w:pStyle w:val="ListBullet"/>
        <w:spacing w:after="80" w:line="300" w:lineRule="auto"/>
        <w:ind w:left="540" w:hanging="271"/>
      </w:pPr>
      <w:r>
        <w:t>UB 按固定预算切 tile；不把整张量一次性放入 UB。大 shape 的可运行性优先于单个样例的低延迟。</w:t>
      </w:r>
    </w:p>
    <w:p>
      <w:pPr>
        <w:pStyle w:val="ListBullet"/>
        <w:spacing w:after="80" w:line="300" w:lineRule="auto"/>
        <w:ind w:left="540" w:hanging="271"/>
      </w:pPr>
      <w:r>
        <w:t>索引类算子要显式处理多维坐标、stride、重复 index 和写冲突；ScatterReduce/Gather/Expand 是 IndexAdd 的直接参考。</w:t>
      </w:r>
    </w:p>
    <w:p>
      <w:pPr>
        <w:pStyle w:val="ListBullet"/>
        <w:spacing w:after="80" w:line="300" w:lineRule="auto"/>
        <w:ind w:left="540" w:hanging="271"/>
      </w:pPr>
      <w:r>
        <w:t>规约类算子应在 FP32 中间类型中平方/累加，再转换输出；先 FP16 平方会提前溢出或损失精度。</w:t>
      </w:r>
    </w:p>
    <w:p>
      <w:pPr>
        <w:pStyle w:val="ListBullet"/>
        <w:spacing w:after="80" w:line="300" w:lineRule="auto"/>
        <w:ind w:left="540" w:hanging="271"/>
      </w:pPr>
      <w:r>
        <w:t>双缓冲只有在 tile 循环真实重叠搬运与计算时才有价值；仅把 BUFFER_NUM 改大并不自动提升性能。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15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本地仓库目录</w:t>
            </w:r>
          </w:p>
        </w:tc>
        <w:tc>
          <w:tcPr>
            <w:tcW w:type="dxa" w:w="621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主要学习价值</w:t>
            </w:r>
          </w:p>
        </w:tc>
      </w:tr>
      <w:tr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sz w:val="17"/>
              </w:rPr>
              <w:t>R002_gitcode_szdaniel_S6T</w:t>
            </w:r>
          </w:p>
        </w:tc>
        <w:tc>
          <w:tcPr>
            <w:tcW w:type="dxa" w:w="6210"/>
            <w:vAlign w:val="top"/>
          </w:tcPr>
          <w:p>
            <w:pPr>
              <w:spacing w:after="40"/>
            </w:pPr>
            <w:r>
              <w:rPr>
                <w:sz w:val="17"/>
              </w:rPr>
              <w:t>S6 多算子完整工程；Fmin/Hypot/Logcumsumexp；大量 DataCopyPad、模板化 dtype 和分块。</w:t>
            </w:r>
          </w:p>
        </w:tc>
      </w:tr>
      <w:tr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sz w:val="17"/>
              </w:rPr>
              <w:t>R078_github_Brown-Bert_S5</w:t>
            </w:r>
          </w:p>
        </w:tc>
        <w:tc>
          <w:tcPr>
            <w:tcW w:type="dxa" w:w="6210"/>
            <w:vAlign w:val="top"/>
          </w:tcPr>
          <w:p>
            <w:pPr>
              <w:spacing w:after="40"/>
            </w:pPr>
            <w:r>
              <w:rPr>
                <w:sz w:val="17"/>
              </w:rPr>
              <w:t>GatherV3 与 ReduceLogSumExp；索引映射、规约和可提交工程结构。</w:t>
            </w:r>
          </w:p>
        </w:tc>
      </w:tr>
      <w:tr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sz w:val="17"/>
              </w:rPr>
              <w:t>R079_github_bubu-12_Ascendc-S4</w:t>
            </w:r>
          </w:p>
        </w:tc>
        <w:tc>
          <w:tcPr>
            <w:tcW w:type="dxa" w:w="6210"/>
            <w:vAlign w:val="top"/>
          </w:tcPr>
          <w:p>
            <w:pPr>
              <w:spacing w:after="40"/>
            </w:pPr>
            <w:r>
              <w:rPr>
                <w:sz w:val="17"/>
              </w:rPr>
              <w:t>ScatterReduce；多维坐标拆解、scatter 轴步长和非对齐搬运，可映射到 IndexAdd。</w:t>
            </w:r>
          </w:p>
        </w:tc>
      </w:tr>
      <w:tr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sz w:val="17"/>
              </w:rPr>
              <w:t>R097_github_Qeeweew_AscendC-S6-Logcumsumexp</w:t>
            </w:r>
          </w:p>
        </w:tc>
        <w:tc>
          <w:tcPr>
            <w:tcW w:type="dxa" w:w="6210"/>
            <w:vAlign w:val="top"/>
          </w:tcPr>
          <w:p>
            <w:pPr>
              <w:spacing w:after="40"/>
            </w:pPr>
            <w:r>
              <w:rPr>
                <w:sz w:val="17"/>
              </w:rPr>
              <w:t>分行规约、事件同步、流水和边界处理。</w:t>
            </w:r>
          </w:p>
        </w:tc>
      </w:tr>
      <w:tr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sz w:val="17"/>
              </w:rPr>
              <w:t>R104_github_ustc1587_ReduceLogSumExp</w:t>
            </w:r>
          </w:p>
        </w:tc>
        <w:tc>
          <w:tcPr>
            <w:tcW w:type="dxa" w:w="6210"/>
            <w:vAlign w:val="top"/>
          </w:tcPr>
          <w:p>
            <w:pPr>
              <w:spacing w:after="40"/>
            </w:pPr>
            <w:r>
              <w:rPr>
                <w:sz w:val="17"/>
              </w:rPr>
              <w:t>FP16→FP32 转换、双缓冲和 ReduceSum 组织，可映射到 SquareSumV1。</w:t>
            </w:r>
          </w:p>
        </w:tc>
      </w:tr>
      <w:tr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sz w:val="17"/>
              </w:rPr>
              <w:t>R107_github_winfan1314_AscendC-S4-Base</w:t>
            </w:r>
          </w:p>
        </w:tc>
        <w:tc>
          <w:tcPr>
            <w:tcW w:type="dxa" w:w="6210"/>
            <w:vAlign w:val="top"/>
          </w:tcPr>
          <w:p>
            <w:pPr>
              <w:spacing w:after="40"/>
            </w:pPr>
            <w:r>
              <w:rPr>
                <w:sz w:val="17"/>
              </w:rPr>
              <w:t>Gather/Pows/Reshape；TILING_KEY 快慢路径与 scalar fallback。</w:t>
            </w:r>
          </w:p>
        </w:tc>
      </w:tr>
      <w:tr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sz w:val="17"/>
              </w:rPr>
              <w:t>R108_github_wybxw_Ascend_ops_Base_S6</w:t>
            </w:r>
          </w:p>
        </w:tc>
        <w:tc>
          <w:tcPr>
            <w:tcW w:type="dxa" w:w="6210"/>
            <w:vAlign w:val="top"/>
          </w:tcPr>
          <w:p>
            <w:pPr>
              <w:spacing w:after="40"/>
            </w:pPr>
            <w:r>
              <w:rPr>
                <w:sz w:val="17"/>
              </w:rPr>
              <w:t>Expand；任意 dtype 模板、广播坐标映射、UB 预算和尾块写回。</w:t>
            </w:r>
          </w:p>
        </w:tc>
      </w:tr>
      <w:tr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sz w:val="17"/>
              </w:rPr>
              <w:t>R109_github_wybxw_Ascend_ops_Performance_S6</w:t>
            </w:r>
          </w:p>
        </w:tc>
        <w:tc>
          <w:tcPr>
            <w:tcW w:type="dxa" w:w="6210"/>
            <w:vAlign w:val="top"/>
          </w:tcPr>
          <w:p>
            <w:pPr>
              <w:spacing w:after="40"/>
            </w:pPr>
            <w:r>
              <w:rPr>
                <w:sz w:val="17"/>
              </w:rPr>
              <w:t>Hypot；float/half/bfloat16 模板、计算 dtype 分离和分块。</w:t>
            </w:r>
          </w:p>
        </w:tc>
      </w:tr>
    </w:tbl>
    <w:p/>
    <w:p>
      <w:pPr>
        <w:pStyle w:val="Heading1"/>
      </w:pPr>
      <w:r>
        <w:t>5. 推荐优化顺序与验收门槛</w:t>
      </w:r>
    </w:p>
    <w:p>
      <w:r>
        <w:t>1. 先冻结题目语义矩阵：dtype × rank × axis/dim × 对齐 × 空张量/空 index × 特殊值 × 重复 index。</w:t>
      </w:r>
    </w:p>
    <w:p>
      <w:r>
        <w:t>2. 为五题建立通用正确路径，确保所有本地扩展测试和远端功能用例通过。</w:t>
      </w:r>
    </w:p>
    <w:p>
      <w:r>
        <w:t>3. 只在输入满足条件时进入快路径；任何不满足的情况必须回退，不能运行失败。</w:t>
      </w:r>
    </w:p>
    <w:p>
      <w:r>
        <w:t>4. 再做 tiling、核数、双缓冲、vector 指令和减少 GM 往返的性能优化。</w:t>
      </w:r>
    </w:p>
    <w:p>
      <w:r>
        <w:t>5. 每次远端提交都记录代码提交号、zip 哈希、五个 Case 的结果和日志，避免本地/远端/仓库不同步。</w:t>
      </w:r>
    </w:p>
    <w:p>
      <w:pPr>
        <w:pStyle w:val="Heading1"/>
      </w:pPr>
      <w:r>
        <w:t>6. 外部链接与仓库归档结果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00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总数</w:t>
            </w:r>
          </w:p>
        </w:tc>
        <w:tc>
          <w:tcPr>
            <w:tcW w:type="dxa" w:w="150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成功</w:t>
            </w:r>
          </w:p>
        </w:tc>
        <w:tc>
          <w:tcPr>
            <w:tcW w:type="dxa" w:w="90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416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唯一外部链接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7"/>
              </w:rPr>
              <w:t>167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97 保存网页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70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7"/>
              </w:rPr>
              <w:t>完整逐项状态见审计工作簿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仓库链接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7"/>
              </w:rPr>
              <w:t>113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43 完整 clone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70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7"/>
              </w:rPr>
              <w:t>成功项保留 .git、分支、HEAD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赛题工作簿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9 已读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7"/>
              </w:rPr>
              <w:t>提取 40 个唯一技术链接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S9 PyTorch 2.5 链接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7"/>
              </w:rPr>
              <w:t>6 + 1 跟进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4160"/>
            <w:vAlign w:val="top"/>
          </w:tcPr>
          <w:p>
            <w:pPr>
              <w:spacing w:after="40"/>
            </w:pPr>
            <w:r>
              <w:rPr>
                <w:sz w:val="17"/>
              </w:rPr>
              <w:t>index_add 页面正文跳转到 index_add_，已补抓</w:t>
            </w:r>
          </w:p>
        </w:tc>
      </w:tr>
    </w:tbl>
    <w:p/>
    <w:p>
      <w:pPr>
        <w:pStyle w:val="Heading1"/>
      </w:pPr>
      <w:r>
        <w:t>7. 无法获取与限制</w:t>
      </w:r>
    </w:p>
    <w:p>
      <w:pPr>
        <w:pStyle w:val="ListBullet"/>
        <w:spacing w:after="80" w:line="300" w:lineRule="auto"/>
        <w:ind w:left="540" w:hanging="271"/>
      </w:pPr>
      <w:r>
        <w:t>Gitee：大多数 clone 返回平台 reject/HTTP 400，网页返回 HTTP 405；属于平台或当前网络环境拒绝，不是未尝试。</w:t>
      </w:r>
    </w:p>
    <w:p>
      <w:pPr>
        <w:pStyle w:val="ListBullet"/>
        <w:spacing w:after="80" w:line="300" w:lineRule="auto"/>
        <w:ind w:left="540" w:hanging="271"/>
      </w:pPr>
      <w:r>
        <w:t>GitCode：LiJianhao2/AscendS6 要求登录；szdaniel/S6T 已成功 clone。</w:t>
      </w:r>
    </w:p>
    <w:p>
      <w:pPr>
        <w:pStyle w:val="ListBullet"/>
        <w:spacing w:after="80" w:line="300" w:lineRule="auto"/>
        <w:ind w:left="540" w:hanging="271"/>
      </w:pPr>
      <w:r>
        <w:t>GitHub：wilburx813/ascend_s4 返回 Repository not found；页面亦 404。</w:t>
      </w:r>
    </w:p>
    <w:p>
      <w:pPr>
        <w:pStyle w:val="ListBullet"/>
        <w:spacing w:after="80" w:line="300" w:lineRule="auto"/>
        <w:ind w:left="540" w:hanging="271"/>
      </w:pPr>
      <w:r>
        <w:t>pytorch.ac.cn 的 2 个历史链接在当前请求状态下无法保存；原链接和错误已记录，其他 38 个工作簿技术页成功。</w:t>
      </w:r>
    </w:p>
    <w:p>
      <w:pPr>
        <w:pStyle w:val="ListBullet"/>
        <w:spacing w:after="80" w:line="300" w:lineRule="auto"/>
        <w:ind w:left="540" w:hanging="271"/>
      </w:pPr>
      <w:r>
        <w:t>http://e.huawei.com 返回 502；手册中的华为云 ModelArts 页面和控制台链接已保存。</w:t>
      </w:r>
    </w:p>
    <w:p>
      <w:pPr>
        <w:pStyle w:val="ListBullet"/>
        <w:spacing w:after="80" w:line="300" w:lineRule="auto"/>
        <w:ind w:left="540" w:hanging="271"/>
      </w:pPr>
      <w:r>
        <w:t>本机没有 Word/LibreOffice/WPS 渲染器，DOCX 无法做视觉页面复核；主 PDF 已生成并逐页检查，DOCX 做结构检查。</w:t>
      </w:r>
    </w:p>
    <w:p>
      <w:pPr>
        <w:pStyle w:val="Heading1"/>
      </w:pPr>
      <w:r>
        <w:t>8. 资料包结构与使用方式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0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860"/>
            <w:shd w:fill="4472C4"/>
            <w:vAlign w:val="top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sz w:val="17"/>
              </w:rPr>
              <w:t>00_材料索引</w:t>
            </w:r>
          </w:p>
        </w:tc>
        <w:tc>
          <w:tcPr>
            <w:tcW w:type="dxa" w:w="6860"/>
            <w:vAlign w:val="top"/>
          </w:tcPr>
          <w:p>
            <w:pPr>
              <w:spacing w:after="40"/>
            </w:pPr>
            <w:r>
              <w:rPr>
                <w:sz w:val="17"/>
              </w:rPr>
              <w:t>源文件清单、167 链接总表、网页状态、仓库状态、目录映射。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sz w:val="17"/>
              </w:rPr>
              <w:t>01_S9赛题原文与规格</w:t>
            </w:r>
          </w:p>
        </w:tc>
        <w:tc>
          <w:tcPr>
            <w:tcW w:type="dxa" w:w="6860"/>
            <w:vAlign w:val="top"/>
          </w:tcPr>
          <w:p>
            <w:pPr>
              <w:spacing w:after="40"/>
            </w:pPr>
            <w:r>
              <w:rPr>
                <w:sz w:val="17"/>
              </w:rPr>
              <w:t>S9 原始材料、官方 zip_op.sh、五题规格摘要。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sz w:val="17"/>
              </w:rPr>
              <w:t>02_网页归档</w:t>
            </w:r>
          </w:p>
        </w:tc>
        <w:tc>
          <w:tcPr>
            <w:tcW w:type="dxa" w:w="6860"/>
            <w:vAlign w:val="top"/>
          </w:tcPr>
          <w:p>
            <w:pPr>
              <w:spacing w:after="40"/>
            </w:pPr>
            <w:r>
              <w:rPr>
                <w:sz w:val="17"/>
              </w:rPr>
              <w:t>97 个成功响应和获取映射。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sz w:val="17"/>
              </w:rPr>
              <w:t>03_往届冠军仓库快照</w:t>
            </w:r>
          </w:p>
        </w:tc>
        <w:tc>
          <w:tcPr>
            <w:tcW w:type="dxa" w:w="6860"/>
            <w:vAlign w:val="top"/>
          </w:tcPr>
          <w:p>
            <w:pPr>
              <w:spacing w:after="40"/>
            </w:pPr>
            <w:r>
              <w:rPr>
                <w:sz w:val="17"/>
              </w:rPr>
              <w:t>43 个完整工作树与 Git 历史。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sz w:val="17"/>
              </w:rPr>
              <w:t>04_往届赛题与代码分析</w:t>
            </w:r>
          </w:p>
        </w:tc>
        <w:tc>
          <w:tcPr>
            <w:tcW w:type="dxa" w:w="6860"/>
            <w:vAlign w:val="top"/>
          </w:tcPr>
          <w:p>
            <w:pPr>
              <w:spacing w:after="40"/>
            </w:pPr>
            <w:r>
              <w:rPr>
                <w:sz w:val="17"/>
              </w:rPr>
              <w:t>历届原始包、解压内容、9 个工作簿、代码审读矩阵与学习结论。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sz w:val="17"/>
              </w:rPr>
              <w:t>05_无法获取与待人工处理</w:t>
            </w:r>
          </w:p>
        </w:tc>
        <w:tc>
          <w:tcPr>
            <w:tcW w:type="dxa" w:w="6860"/>
            <w:vAlign w:val="top"/>
          </w:tcPr>
          <w:p>
            <w:pPr>
              <w:spacing w:after="40"/>
            </w:pPr>
            <w:r>
              <w:rPr>
                <w:sz w:val="17"/>
              </w:rPr>
              <w:t>失败原因、可重试条件和本机限制。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40"/>
            </w:pPr>
            <w:r>
              <w:rPr>
                <w:sz w:val="17"/>
              </w:rPr>
              <w:t>06_报告与验收清单</w:t>
            </w:r>
          </w:p>
        </w:tc>
        <w:tc>
          <w:tcPr>
            <w:tcW w:type="dxa" w:w="6860"/>
            <w:vAlign w:val="top"/>
          </w:tcPr>
          <w:p>
            <w:pPr>
              <w:spacing w:after="40"/>
            </w:pPr>
            <w:r>
              <w:rPr>
                <w:sz w:val="17"/>
              </w:rPr>
              <w:t>主报告、审计工作簿、预览和最终校验。</w:t>
            </w:r>
          </w:p>
        </w:tc>
      </w:tr>
    </w:tbl>
    <w:p/>
    <w:p>
      <w:r>
        <w:t>建议先读本报告，再打开《S9外部链接与往届仓库审计表.xlsx》筛选具体链接或仓库，最后按算子进入对应源码目录。</w:t>
      </w:r>
    </w:p>
    <w:p>
      <w:pPr>
        <w:pStyle w:val="Heading1"/>
      </w:pPr>
      <w:r>
        <w:t>9. 下一轮开始优化前需要的条件</w:t>
      </w:r>
    </w:p>
    <w:p>
      <w:pPr>
        <w:pStyle w:val="ListBullet"/>
        <w:spacing w:after="80" w:line="300" w:lineRule="auto"/>
        <w:ind w:left="540" w:hanging="271"/>
      </w:pPr>
      <w:r>
        <w:t>以 ModelArts `/home/ma-user/work/` 的实时代码为准，先同步回本地并记录远端 commit/文件哈希。</w:t>
      </w:r>
    </w:p>
    <w:p>
      <w:pPr>
        <w:pStyle w:val="ListBullet"/>
        <w:spacing w:after="80" w:line="300" w:lineRule="auto"/>
        <w:ind w:left="540" w:hanging="271"/>
      </w:pPr>
      <w:r>
        <w:t>保持 CANN 社区版 8.5.0、Ascend 910B 和 Euler 2.10 环境。</w:t>
      </w:r>
    </w:p>
    <w:p>
      <w:pPr>
        <w:pStyle w:val="ListBullet"/>
        <w:spacing w:after="80" w:line="300" w:lineRule="auto"/>
        <w:ind w:left="540" w:hanging="271"/>
      </w:pPr>
      <w:r>
        <w:t>远端命令继续写入 `/home/ma-user/work/s9/codex-visible-terminal.log`，你可在 JupyterLab 中实时查看。</w:t>
      </w:r>
    </w:p>
    <w:p>
      <w:pPr>
        <w:pStyle w:val="ListBullet"/>
        <w:spacing w:after="80" w:line="300" w:lineRule="auto"/>
        <w:ind w:left="540" w:hanging="271"/>
      </w:pPr>
      <w:r>
        <w:t>先允许我跑完整功能矩阵和本地/远端日志，再提交榜单；不再用单一样例通过代替题目通过。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2026-07-25｜资料包内部报告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S9 算子挑战赛｜资料审计与优化依据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