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SC" w:hAnsi="Noto Sans SC" w:eastAsia="Noto Sans SC"/>
          <w:color w:val="000000"/>
        </w:rPr>
        <w:t>AI 普惠宣言发布推文</w:t>
      </w:r>
    </w:p>
    <w:p>
      <w:pPr>
        <w:pStyle w:val="Subtitle"/>
      </w:pPr>
      <w:r>
        <w:rPr>
          <w:rFonts w:ascii="Noto Sans SC" w:hAnsi="Noto Sans SC" w:eastAsia="Noto Sans SC"/>
          <w:color w:val="000000"/>
        </w:rPr>
        <w:t>发布文章与配套传播文案 · 定稿 · 2026-10-11</w:t>
      </w:r>
    </w:p>
    <w:p>
      <w:pPr>
        <w:pStyle w:val="Heading1"/>
      </w:pPr>
      <w:r>
        <w:rPr>
          <w:rFonts w:ascii="Noto Sans SC" w:hAnsi="Noto Sans SC" w:eastAsia="Noto Sans SC"/>
          <w:color w:val="000000"/>
        </w:rPr>
        <w:t>让 AI 用得起，更用得好：AI 普惠宣言</w:t>
      </w:r>
    </w:p>
    <w:p>
      <w:pPr/>
      <w:r>
        <w:rPr>
          <w:rFonts w:ascii="Noto Sans SC" w:hAnsi="Noto Sans SC" w:eastAsia="Noto Sans SC"/>
          <w:color w:val="000000"/>
        </w:rPr>
        <w:t>AI 正在改变我们学习、创造与解决问题的方式。与此同时，一个问题也越来越具体：怎样让更多人获得 AI 能力，并把这种能力转化为生活与工作中的实际帮助？</w:t>
      </w:r>
    </w:p>
    <w:p>
      <w:pPr/>
      <w:r>
        <w:rPr>
          <w:rFonts w:ascii="Noto Sans SC" w:hAnsi="Noto Sans SC" w:eastAsia="Noto Sans SC"/>
          <w:color w:val="000000"/>
        </w:rPr>
        <w:t>对学习者来说，这意味着能否找到容易理解的知识与合适的实践机会。对开发者来说，这意味着能否获得可用的工具、资源和协作支持。对社区与组织来说，这意味着技术能否回应自身的语言、文化与现实需要，并在使用中得到持续维护。</w:t>
      </w:r>
    </w:p>
    <w:p>
      <w:pPr/>
      <w:r>
        <w:rPr>
          <w:rFonts w:ascii="Noto Sans SC" w:hAnsi="Noto Sans SC" w:eastAsia="Noto Sans SC"/>
          <w:color w:val="000000"/>
        </w:rPr>
        <w:t>X-lab AI 开放实验室提出《AI 普惠宣言》，以一句朴素的主张，连接共同愿景与具体行动：</w:t>
      </w:r>
    </w:p>
    <w:p>
      <w:pPr/>
      <w:r>
        <w:rPr>
          <w:rFonts w:ascii="Noto Sans SC" w:hAnsi="Noto Sans SC" w:eastAsia="Noto Sans SC"/>
          <w:color w:val="000000"/>
        </w:rPr>
        <w:t>让 AI 用得起，更用得好。</w:t>
      </w:r>
    </w:p>
    <w:p>
      <w:pPr/>
      <w:r>
        <w:rPr>
          <w:rFonts w:ascii="Noto Sans SC" w:hAnsi="Noto Sans SC" w:eastAsia="Noto Sans SC"/>
          <w:color w:val="000000"/>
        </w:rPr>
        <w:t>我们希望，让更多人能够获得和运用 AI 能力，参与创造，共享技术进步的成果。这份宣言用五个相连的部分，说明我们愿意共同推进的方向：一心普惠，二力相生，三重飞轮，万千可能，生生不息。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一心普惠 让更多人获得能力与机会</w:t>
      </w:r>
    </w:p>
    <w:p>
      <w:pPr/>
      <w:r>
        <w:rPr>
          <w:rFonts w:ascii="Noto Sans SC" w:hAnsi="Noto Sans SC" w:eastAsia="Noto Sans SC"/>
          <w:color w:val="000000"/>
        </w:rPr>
        <w:t>用得起，就是降低获取和持续使用技术的成本，让更多人能够获得必要的工具、知识与资源。用得好，就是提升理解、判断和创造的能力，让技术真正服务于学习、工作与生活。</w:t>
      </w:r>
    </w:p>
    <w:p>
      <w:pPr/>
      <w:r>
        <w:rPr>
          <w:rFonts w:ascii="Noto Sans SC" w:hAnsi="Noto Sans SC" w:eastAsia="Noto Sans SC"/>
          <w:color w:val="000000"/>
        </w:rPr>
        <w:t>这一愿景同时面向开发者、社会大众与全球南方。我们支持 AI 学习者积累能力、AI 构建者面向需求完成应用、AI 工程师完善系统；也关注普通人在日常生活中的实际获得，以及不同地区的语言、资源条件与发展需要。</w:t>
      </w:r>
    </w:p>
    <w:p>
      <w:pPr/>
      <w:r>
        <w:rPr>
          <w:rFonts w:ascii="Noto Sans SC" w:hAnsi="Noto Sans SC" w:eastAsia="Noto Sans SC"/>
          <w:color w:val="000000"/>
        </w:rPr>
        <w:t>技术能否增进普惠，需要回到具体的人：他们是否更容易参与，是否能够理解和使用，是否获得了更多选择。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二力相生 让开放支持创造</w:t>
      </w:r>
    </w:p>
    <w:p>
      <w:pPr/>
      <w:r>
        <w:rPr>
          <w:rFonts w:ascii="Noto Sans SC" w:hAnsi="Noto Sans SC" w:eastAsia="Noto Sans SC"/>
          <w:color w:val="000000"/>
        </w:rPr>
        <w:t>开源之力降低参与门槛，开发者之力拓展应用价值。清晰的开放许可、易于理解的文档、可供复用的成果与持续维护，为参与创造提供条件；人的学习、判断与实践，则让技术回应真实问题。</w:t>
      </w:r>
    </w:p>
    <w:p>
      <w:pPr/>
      <w:r>
        <w:rPr>
          <w:rFonts w:ascii="Noto Sans SC" w:hAnsi="Noto Sans SC" w:eastAsia="Noto Sans SC"/>
          <w:color w:val="000000"/>
        </w:rPr>
        <w:t>在开源项目与社区中，代码、文档、测试、教学、翻译、维护和协作，都可以成为贡献。个人创造汇入共同成果，共同成果又支持更多创造。</w:t>
      </w:r>
    </w:p>
    <w:p>
      <w:pPr/>
      <w:r>
        <w:rPr>
          <w:rFonts w:ascii="Noto Sans SC" w:hAnsi="Noto Sans SC" w:eastAsia="Noto Sans SC"/>
          <w:color w:val="000000"/>
        </w:rPr>
        <w:t>我们提出的基本路径是：AI 能力 → 数字公共品 → AI 普惠。通过共同创造和维护开放共享的软件、数据、知识与解决方案，再通过复用、推广与本地化，让技术能力转化为广泛可及的实际帮助。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三重飞轮 让行动获得持续支持</w:t>
      </w:r>
    </w:p>
    <w:p>
      <w:pPr/>
      <w:r>
        <w:rPr>
          <w:rFonts w:ascii="Noto Sans SC" w:hAnsi="Noto Sans SC" w:eastAsia="Noto Sans SC"/>
          <w:color w:val="000000"/>
        </w:rPr>
        <w:t>一项有用的成果，需要有人创造、有人维护，也需要依据和资源支持。宣言以数据、人才、价值三个飞轮，连接证据、能力与资源。</w:t>
      </w:r>
    </w:p>
    <w:p>
      <w:pPr/>
      <w:r>
        <w:rPr>
          <w:rFonts w:ascii="Noto Sans SC" w:hAnsi="Noto Sans SC" w:eastAsia="Noto Sans SC"/>
          <w:color w:val="000000"/>
        </w:rPr>
        <w:t>数据飞轮，以数据支撑判断。通过数据采集、基准建设、平台支撑与评价应用，帮助贡献被识别、协作被理解、效果得到检验，再由评价反馈改进数据工作。</w:t>
      </w:r>
    </w:p>
    <w:p>
      <w:pPr/>
      <w:r>
        <w:rPr>
          <w:rFonts w:ascii="Noto Sans SC" w:hAnsi="Noto Sans SC" w:eastAsia="Noto Sans SC"/>
          <w:color w:val="000000"/>
        </w:rPr>
        <w:t>人才飞轮，以人才推动创造。让贡献获得评价，让成长能够被看见，让更多人参与学习、创造与维护，改善数字公共品的质量、可用性和持续供给。</w:t>
      </w:r>
    </w:p>
    <w:p>
      <w:pPr/>
      <w:r>
        <w:rPr>
          <w:rFonts w:ascii="Noto Sans SC" w:hAnsi="Noto Sans SC" w:eastAsia="Noto Sans SC"/>
          <w:color w:val="000000"/>
        </w:rPr>
        <w:t>价值飞轮，以价值促进投入。我们倡议企业和机构提供模型调用额度、资金、岗位与实践机会，并明确支持范围与合作责任。通过贡献识别、价值回馈与成效验证，让下一轮投入更有依据。</w:t>
      </w:r>
    </w:p>
    <w:p>
      <w:pPr/>
      <w:r>
        <w:rPr>
          <w:rFonts w:ascii="Noto Sans SC" w:hAnsi="Noto Sans SC" w:eastAsia="Noto Sans SC"/>
          <w:color w:val="000000"/>
        </w:rPr>
        <w:t>这三个飞轮需要在实践中相互支持、接受检验。我们将以新的证据与反馈不断改进，而不是用一个指标代替对人的完整理解。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万千可能 让共同成果回应不同需要</w:t>
      </w:r>
    </w:p>
    <w:p>
      <w:pPr/>
      <w:r>
        <w:rPr>
          <w:rFonts w:ascii="Noto Sans SC" w:hAnsi="Noto Sans SC" w:eastAsia="Noto Sans SC"/>
          <w:color w:val="000000"/>
        </w:rPr>
        <w:t>普惠的成效，体现在使用者的实际获得中。</w:t>
      </w:r>
    </w:p>
    <w:p>
      <w:pPr/>
      <w:r>
        <w:rPr>
          <w:rFonts w:ascii="Noto Sans SC" w:hAnsi="Noto Sans SC" w:eastAsia="Noto Sans SC"/>
          <w:color w:val="000000"/>
        </w:rPr>
        <w:t>一份容易理解的学习材料、一项能够复用的工具、一种适应本地语言的解决方案，都可以成为行动的起点。它们是否负担得起、理解得了、使用得好？是否带来能力提升与机会拓展？是否有人持续维护？还有哪些人没有受益？</w:t>
      </w:r>
    </w:p>
    <w:p>
      <w:pPr/>
      <w:r>
        <w:rPr>
          <w:rFonts w:ascii="Noto Sans SC" w:hAnsi="Noto Sans SC" w:eastAsia="Noto Sans SC"/>
          <w:color w:val="000000"/>
        </w:rPr>
        <w:t>我们愿与使用者和当地伙伴共同明确需求、设计方案、检验成效，让更多人参与创造，也参与判断成果的价值。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生生不息 让每轮实践成为新的起点</w:t>
      </w:r>
    </w:p>
    <w:p>
      <w:pPr/>
      <w:r>
        <w:rPr>
          <w:rFonts w:ascii="Noto Sans SC" w:hAnsi="Noto Sans SC" w:eastAsia="Noto Sans SC"/>
          <w:color w:val="000000"/>
        </w:rPr>
        <w:t>共同愿景需要通过持续行动兑现。</w:t>
      </w:r>
    </w:p>
    <w:p>
      <w:pPr/>
      <w:r>
        <w:rPr>
          <w:rFonts w:ascii="Noto Sans SC" w:hAnsi="Noto Sans SC" w:eastAsia="Noto Sans SC"/>
          <w:color w:val="000000"/>
        </w:rPr>
        <w:t>我们以实践、记录、检验与改进推动这一过程：从具体需求出发，说明行动目标与支持范围；公开记录贡献、投入和使用体验，区分计划、试点与已完成事项；结合数据、使用者反馈与专业判断，接纳质疑与纠错；再让新的证据和经验回到下一轮行动。</w:t>
      </w:r>
    </w:p>
    <w:p>
      <w:pPr/>
      <w:r>
        <w:rPr>
          <w:rFonts w:ascii="Noto Sans SC" w:hAnsi="Noto Sans SC" w:eastAsia="Noto Sans SC"/>
          <w:color w:val="000000"/>
        </w:rPr>
        <w:t>有用的成果需要持续维护，遇到的问题需要被看见，共同的方法也需要在实践中逐步完善。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从一次具体参与开始</w:t>
      </w:r>
    </w:p>
    <w:p>
      <w:pPr/>
      <w:r>
        <w:rPr>
          <w:rFonts w:ascii="Noto Sans SC" w:hAnsi="Noto Sans SC" w:eastAsia="Noto Sans SC"/>
          <w:color w:val="000000"/>
        </w:rPr>
        <w:t>我们邀请开发者贡献工具与知识，邀请企业、教育机构和公共机构提供资源与实践机会，邀请国际组织、社区和各地区伙伴分享经验、参与共建。</w:t>
      </w:r>
    </w:p>
    <w:p>
      <w:pPr/>
      <w:r>
        <w:rPr>
          <w:rFonts w:ascii="Noto Sans SC" w:hAnsi="Noto Sans SC" w:eastAsia="Noto Sans SC"/>
          <w:color w:val="000000"/>
        </w:rPr>
        <w:t>你可以从一项具体行动开始：指出宣言中值得改进的段落；分享一个真实需求；贡献代码、文档、教学或翻译；带回一次实践的反馈。参与不需要已有项目或贡献评分，提出建议也不意味着合作已经承诺。</w:t>
      </w:r>
    </w:p>
    <w:p>
      <w:pPr/>
      <w:r>
        <w:rPr>
          <w:rFonts w:ascii="Noto Sans SC" w:hAnsi="Noto Sans SC" w:eastAsia="Noto Sans SC"/>
          <w:color w:val="000000"/>
        </w:rPr>
        <w:t>宣言全文、13 章互动演示与宣言影片现已上线。欢迎阅读、观看，也欢迎把问题和建议带回共同讨论。</w:t>
      </w:r>
    </w:p>
    <w:p>
      <w:pPr/>
      <w:r>
        <w:rPr>
          <w:rFonts w:ascii="Noto Sans SC" w:hAnsi="Noto Sans SC" w:eastAsia="Noto Sans SC"/>
          <w:color w:val="000000"/>
        </w:rPr>
        <w:t>以共同愿景凝聚两股力量，以三重飞轮孕育万千可能，以持续实践推动普惠生生不息。</w:t>
      </w:r>
    </w:p>
    <w:p>
      <w:pPr/>
      <w:r>
        <w:rPr>
          <w:rFonts w:ascii="Noto Sans SC" w:hAnsi="Noto Sans SC" w:eastAsia="Noto Sans SC"/>
          <w:color w:val="000000"/>
        </w:rPr>
        <w:t>让 AI 用得起，更用得好。</w:t>
      </w:r>
    </w:p>
    <w:p>
      <w:pPr/>
      <w:r>
        <w:rPr>
          <w:rFonts w:ascii="Noto Sans SC" w:hAnsi="Noto Sans SC" w:eastAsia="Noto Sans SC"/>
          <w:color w:val="000000"/>
        </w:rPr>
        <w:t>阅读全文 https://www.x-lab.info/ai-for-all/</w:t>
        <w:br/>
        <w:t>互动演示 https://www.x-lab.info/ai-for-all/presentation/</w:t>
        <w:br/>
        <w:t>观看影片 https://www.x-lab.info/ai-for-all/film/</w:t>
        <w:br/>
        <w:t>参与共建 https://github.com/X-lab2017/ai-for-all/blob/main/CONTRIBUTING.md</w:t>
      </w:r>
    </w:p>
    <w:p>
      <w:r>
        <w:rPr>
          <w:rFonts w:ascii="Noto Sans SC" w:hAnsi="Noto Sans SC" w:eastAsia="Noto Sans SC"/>
          <w:color w:val="000000"/>
        </w:rPr>
        <w:br w:type="page"/>
      </w:r>
    </w:p>
    <w:p>
      <w:pPr>
        <w:pStyle w:val="Title"/>
      </w:pPr>
      <w:r>
        <w:rPr>
          <w:rFonts w:ascii="Noto Sans SC" w:hAnsi="Noto Sans SC" w:eastAsia="Noto Sans SC"/>
          <w:color w:val="000000"/>
        </w:rPr>
        <w:t>配套发布文案与素材说明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标题与摘要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推荐标题：让 AI 用得起，更用得好：AI 普惠宣言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备选标题一：AI 普惠宣言：从共同愿景到持续行动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备选标题二：一心普惠，生生不息：一起把 AI 能力转化为实际帮助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摘要：以共同愿景凝聚两股力量，以数据、人才、价值三个飞轮支持持续行动。X-lab AI 邀请你阅读《AI 普惠宣言》，一起让 AI 用得起，更用得好。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社群转发文案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《AI 普惠宣言》已上线。我们希望，让更多人能够获得和运用 AI 能力，参与创造，共享技术进步的成果。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一心普惠、二力相生、三重飞轮、万千可能、生生不息——从开放共享，到共同创造，再到持续实践与反馈。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欢迎阅读宣言，观看影片，浏览互动演示，也欢迎提出真实需要、贡献工具与知识。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https://www.x-lab.info/ai-for-all/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朋友圈短文案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让 AI 用得起，更用得好。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《AI 普惠宣言》已上线。我们愿以开放支持创造，以持续实践推动普惠。欢迎阅读、分享，也欢迎从一个真实问题、一次具体贡献开始，一起把愿景变成行动。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https://www.x-lab.info/ai-for-all/</w:t>
      </w:r>
    </w:p>
    <w:p>
      <w:pPr>
        <w:pStyle w:val="Heading2"/>
        <w:pageBreakBefore w:val="0"/>
      </w:pPr>
      <w:r>
        <w:rPr>
          <w:rFonts w:ascii="Noto Sans SC" w:hAnsi="Noto Sans SC" w:eastAsia="Noto Sans SC"/>
          <w:color w:val="000000"/>
        </w:rPr>
        <w:t>影片发布文案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104.4 秒，用音乐与几何讲述 AI 普惠的共同愿景。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一心普惠，二力相生，三重飞轮，万千可能，生生不息。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《AI 普惠宣言》影片，用音乐与画面传递共同愿景。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观看影片：https://www.x-lab.info/ai-for-all/film/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评论区引导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你希望 AI 帮助谁，解决什么具体问题？欢迎分享一个真实需要，或者告诉我们，你愿意贡献怎样的工具、知识与实践经验。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配图与排版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封面：cover-wide.png，1800 × 760，横版标题与轨道构图。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分享卡片：share-square.png，1080 × 1080，适合方形预览。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分享海报：share-poster.png，1080 × 1440，包含主站二维码。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正文配图：framework-strip.png，1600 × 560，五层框架横向概览。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配套 SVG 保留可编辑文字与矢量图形；编辑时使用 Noto Sans SC，并保留品牌标识比例。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推文先放开篇与主张，再放影片入口；五层框架图放在五层介绍前；末尾放主站二维码与参与入口。配图内已保留五层名称，不另行发明简称。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公众号正文外链是否可点击，以实际编辑器和账号能力为准；不能直接跳转时使用主站二维码或“阅读原文”入口。发布资料统一入口：https://www.x-lab.info/ai-for-all/launch/。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编辑依据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正文依据：X-lab2017/ai-for-all 仓库 README.md 中的 v1.2 定稿正文。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参与说明依据：同仓库 CONTRIBUTING.md。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演示口径：v1.2，13 章，中英文网页演示。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影片口径：V5，104.4 秒，1080p，纯音乐，无旁白。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文章不新增模型性能数据、组织背书、资源到账承诺或具体发布会信息。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推文与配图于 2026-10-11 确认定稿；与 v1.2 宣言、13 章演示及 V5 影片共同发布。</w:t>
      </w:r>
    </w:p>
    <w:p>
      <w:pPr>
        <w:pStyle w:val="Heading2"/>
      </w:pPr>
      <w:r>
        <w:rPr>
          <w:rFonts w:ascii="Noto Sans SC" w:hAnsi="Noto Sans SC" w:eastAsia="Noto Sans SC"/>
          <w:color w:val="000000"/>
        </w:rPr>
        <w:t>素材使用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文字与品牌使用遵循项目 NOTICE.md。配图使用现有 X-lab AI 品牌路径和可编辑几何图形；二维码指向正式宣言主站。</w:t>
      </w:r>
    </w:p>
    <w:p>
      <w:pPr>
        <w:spacing w:after="100" w:line="276" w:lineRule="auto"/>
      </w:pPr>
      <w:r>
        <w:rPr>
          <w:rFonts w:ascii="Noto Sans SC" w:hAnsi="Noto Sans SC" w:eastAsia="Noto Sans SC"/>
          <w:color w:val="000000"/>
        </w:rPr>
        <w:t>如把 V5 影片上传至新的媒体渠道，应沿用现有配乐署名与使用范围说明。配图包不包含音频。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Noto Sans SC" w:hAnsi="Noto Sans SC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