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60083">
      <w:pPr>
        <w:pStyle w:val="2"/>
        <w:pageBreakBefore/>
        <w:pBdr>
          <w:bottom w:val="single" w:color="1B6B7A" w:sz="6" w:space="6"/>
        </w:pBdr>
        <w:spacing w:before="120" w:after="240" w:line="400" w:lineRule="atLeast"/>
        <w:rPr>
          <w:rFonts w:hint="eastAsia" w:eastAsia="黑体"/>
          <w:color w:val="auto"/>
          <w:lang w:eastAsia="zh-CN"/>
        </w:rPr>
      </w:pPr>
      <w:bookmarkStart w:id="0" w:name="_Toc23949"/>
      <w:r>
        <w:rPr>
          <w:rFonts w:hint="eastAsia" w:eastAsia="黑体"/>
          <w:b/>
          <w:bCs/>
          <w:color w:val="auto"/>
          <w:sz w:val="32"/>
          <w:szCs w:val="32"/>
          <w:lang w:val="en-US" w:eastAsia="zh-CN"/>
        </w:rPr>
        <w:t>一</w:t>
      </w:r>
      <w:r>
        <w:rPr>
          <w:rFonts w:ascii="Times New Roman" w:eastAsia="黑体"/>
          <w:b/>
          <w:bCs/>
          <w:color w:val="auto"/>
          <w:sz w:val="32"/>
          <w:szCs w:val="32"/>
        </w:rPr>
        <w:t>　基于RGB图像的船舶识别、检测与跟踪技术方案</w:t>
      </w:r>
      <w:bookmarkEnd w:id="0"/>
    </w:p>
    <w:p w14:paraId="133BED9F">
      <w:pPr>
        <w:spacing w:after="20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本部分基于JDR-CSTrack框架处理光电视频，完成海面目标的检测、细粒度识别与长时稳定跟踪，</w:t>
      </w:r>
      <w:r>
        <w:rPr>
          <w:rFonts w:hint="eastAsia"/>
          <w:color w:val="auto"/>
          <w:sz w:val="24"/>
          <w:szCs w:val="24"/>
          <w:lang w:val="en-US" w:eastAsia="zh-CN"/>
        </w:rPr>
        <w:t>与</w:t>
      </w:r>
      <w:r>
        <w:rPr>
          <w:rFonts w:ascii="Times New Roman" w:eastAsia="宋体"/>
          <w:color w:val="auto"/>
          <w:sz w:val="24"/>
          <w:szCs w:val="24"/>
        </w:rPr>
        <w:t>融合航迹</w:t>
      </w:r>
      <w:r>
        <w:rPr>
          <w:rFonts w:hint="eastAsia"/>
          <w:color w:val="auto"/>
          <w:sz w:val="24"/>
          <w:szCs w:val="24"/>
          <w:lang w:val="en-US" w:eastAsia="zh-CN"/>
        </w:rPr>
        <w:t>目标关联并</w:t>
      </w:r>
      <w:r>
        <w:rPr>
          <w:rFonts w:ascii="Times New Roman" w:eastAsia="宋体"/>
          <w:color w:val="auto"/>
          <w:sz w:val="24"/>
          <w:szCs w:val="24"/>
        </w:rPr>
        <w:t>提供类别身份与视觉证据。</w:t>
      </w:r>
    </w:p>
    <w:p w14:paraId="1CD5835F">
      <w:pPr>
        <w:pStyle w:val="3"/>
        <w:spacing w:before="280" w:after="160" w:line="350" w:lineRule="atLeast"/>
        <w:rPr>
          <w:color w:val="auto"/>
        </w:rPr>
      </w:pPr>
      <w:bookmarkStart w:id="1" w:name="_Toc2837"/>
      <w:r>
        <w:rPr>
          <w:rFonts w:ascii="Times New Roman" w:eastAsia="黑体"/>
          <w:b/>
          <w:bCs/>
          <w:color w:val="auto"/>
          <w:sz w:val="28"/>
          <w:szCs w:val="28"/>
        </w:rPr>
        <w:t>1  技术说明与适配性</w:t>
      </w:r>
      <w:bookmarkEnd w:id="1"/>
    </w:p>
    <w:p w14:paraId="7E8B56DA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本部分基于JDR-CSTrack框架，采用RGB可见光视频/图像数据完成海面目标的识别、检测与跟踪，与第一部分的雷达/AIS融合航迹形成互补：雷达提供全天候位置与运动信息，光电图像提供直观视觉证据与细粒度类别/身份特征，二者共同支撑后续轨迹预测与行为研判。</w:t>
      </w:r>
    </w:p>
    <w:p w14:paraId="1392A89E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1.1  数据适配性</w:t>
      </w:r>
    </w:p>
    <w:p w14:paraId="3D6CE2F6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框架适用于RGB可见光视频图像数据。依托ShipsMOT真实海上监控视频数据集，包含121段海上实景视频序列、56568帧标注图像，适配港口、近海、海岸监控等海面复杂场景拍摄视角，覆盖光照变化、阴雨、遮挡、目标密集、尺度差异与视角变化等典型难点。</w:t>
      </w:r>
    </w:p>
    <w:p w14:paraId="16D87B8F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1.2  目标识别适配性</w:t>
      </w:r>
    </w:p>
    <w:p w14:paraId="45BE1945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方案支持</w:t>
      </w:r>
      <w:commentRangeStart w:id="0"/>
      <w:r>
        <w:rPr>
          <w:rFonts w:ascii="Times New Roman" w:eastAsia="宋体"/>
          <w:color w:val="auto"/>
          <w:sz w:val="24"/>
          <w:szCs w:val="24"/>
          <w:highlight w:val="yellow"/>
        </w:rPr>
        <w:t>多尺度、多类别目标特征提取，可兼容拓展识别人、民用军用车辆、全品类船艇</w:t>
      </w:r>
      <w:r>
        <w:rPr>
          <w:rFonts w:hint="eastAsia"/>
          <w:color w:val="auto"/>
          <w:sz w:val="24"/>
          <w:szCs w:val="24"/>
          <w:highlight w:val="yellow"/>
          <w:lang w:eastAsia="zh-CN"/>
        </w:rPr>
        <w:t>，</w:t>
      </w:r>
      <w:r>
        <w:rPr>
          <w:rFonts w:hint="eastAsia"/>
          <w:color w:val="auto"/>
          <w:sz w:val="24"/>
          <w:szCs w:val="24"/>
          <w:highlight w:val="yellow"/>
          <w:lang w:val="en-US" w:eastAsia="zh-CN"/>
        </w:rPr>
        <w:t>包含</w:t>
      </w:r>
      <w:r>
        <w:rPr>
          <w:rFonts w:ascii="Times New Roman" w:eastAsia="宋体"/>
          <w:color w:val="auto"/>
          <w:sz w:val="24"/>
          <w:szCs w:val="24"/>
          <w:highlight w:val="yellow"/>
        </w:rPr>
        <w:t>军舰、武装巡逻艇、民用客船、商用运输船、捕鱼船、挖沙船等多类目标</w:t>
      </w:r>
      <w:commentRangeEnd w:id="0"/>
      <w:r>
        <w:commentReference w:id="0"/>
      </w:r>
      <w:r>
        <w:rPr>
          <w:rFonts w:ascii="Times New Roman" w:eastAsia="宋体"/>
          <w:color w:val="auto"/>
          <w:sz w:val="24"/>
          <w:szCs w:val="24"/>
        </w:rPr>
        <w:t>，契合岸防场景多目标识别需求。类别体系与第一部分雷达航迹的目标类型字段可直接映射，用于融合航迹的身份赋值。</w:t>
      </w:r>
    </w:p>
    <w:p w14:paraId="5089318D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1.3  框架可靠性</w:t>
      </w:r>
    </w:p>
    <w:p w14:paraId="1E888C69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方案采用JDR-CSTrack架构，由JDR-YOLO检测模块、</w:t>
      </w:r>
      <w:commentRangeStart w:id="1"/>
      <w:r>
        <w:rPr>
          <w:rFonts w:ascii="Times New Roman" w:eastAsia="宋体"/>
          <w:color w:val="auto"/>
          <w:sz w:val="24"/>
          <w:szCs w:val="24"/>
        </w:rPr>
        <w:t>多类别识别模块</w:t>
      </w:r>
      <w:commentRangeEnd w:id="1"/>
      <w:r>
        <w:commentReference w:id="1"/>
      </w:r>
      <w:r>
        <w:rPr>
          <w:rFonts w:ascii="Times New Roman" w:eastAsia="宋体"/>
          <w:color w:val="auto"/>
          <w:sz w:val="24"/>
          <w:szCs w:val="24"/>
        </w:rPr>
        <w:t>、CSTrack关联跟踪模块组成，遵循先检测、再识别、后跟踪的递进式逻辑，三大模块各司其职、原生协同，适配海面遮挡、尺度突变、光照变化、视角变换等复杂场景。</w:t>
      </w:r>
    </w:p>
    <w:p w14:paraId="2B295D6F">
      <w:pPr>
        <w:pStyle w:val="3"/>
        <w:spacing w:before="280" w:after="160" w:line="350" w:lineRule="atLeast"/>
        <w:rPr>
          <w:color w:val="auto"/>
        </w:rPr>
      </w:pPr>
      <w:bookmarkStart w:id="2" w:name="_Toc26632"/>
      <w:r>
        <w:rPr>
          <w:rFonts w:ascii="Times New Roman" w:eastAsia="黑体"/>
          <w:b/>
          <w:bCs/>
          <w:color w:val="auto"/>
          <w:sz w:val="28"/>
          <w:szCs w:val="28"/>
        </w:rPr>
        <w:t>2  整体技术路线与模块输入输出</w:t>
      </w:r>
      <w:bookmarkEnd w:id="2"/>
    </w:p>
    <w:p w14:paraId="66534E37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2.1  递进式处理流程</w:t>
      </w:r>
    </w:p>
    <w:p w14:paraId="2E3C8400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整体流程为：</w:t>
      </w:r>
      <w:commentRangeStart w:id="2"/>
      <w:r>
        <w:rPr>
          <w:rFonts w:ascii="Times New Roman" w:eastAsia="宋体"/>
          <w:color w:val="auto"/>
          <w:sz w:val="24"/>
          <w:szCs w:val="24"/>
        </w:rPr>
        <w:t>RGB视频原始数据输入→数据预处理</w:t>
      </w:r>
      <w:commentRangeEnd w:id="2"/>
      <w:r>
        <w:commentReference w:id="2"/>
      </w:r>
      <w:r>
        <w:rPr>
          <w:rFonts w:ascii="Times New Roman" w:eastAsia="宋体"/>
          <w:color w:val="auto"/>
          <w:sz w:val="24"/>
          <w:szCs w:val="24"/>
        </w:rPr>
        <w:t>→目标检测模块→多类别识别模块→目标跟踪模块→轨迹优化与结果输出。检测模块解决目标在哪里，识别模块解决目标是什么，跟踪模块解决跨帧还是不是同一个目标，可同时完成海面人、车、全品类船艇的定位、分类识别与长时稳定跟踪。</w:t>
      </w:r>
    </w:p>
    <w:p w14:paraId="4B5770FD">
      <w:pPr>
        <w:keepNext/>
        <w:spacing w:before="160" w:after="6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143000" cy="4419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1FAD">
      <w:pPr>
        <w:spacing w:after="16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图2-1  图像识别、检测与跟踪整体路线流程图</w:t>
      </w:r>
    </w:p>
    <w:p w14:paraId="620631AB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2.2  各模块输入输出定义</w:t>
      </w:r>
    </w:p>
    <w:p w14:paraId="4C7376F2">
      <w:pPr>
        <w:keepNext/>
        <w:spacing w:before="160" w:after="8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表2-1  三大模块输入输出定义</w:t>
      </w:r>
    </w:p>
    <w:tbl>
      <w:tblPr>
        <w:tblStyle w:val="15"/>
        <w:tblW w:w="5000" w:type="pct"/>
        <w:tblInd w:w="0" w:type="dxa"/>
        <w:tblBorders>
          <w:top w:val="single" w:color="1B6B7A" w:sz="8" w:space="0"/>
          <w:left w:val="none" w:color="FFFFFF" w:sz="0" w:space="0"/>
          <w:bottom w:val="single" w:color="1B6B7A" w:sz="8" w:space="0"/>
          <w:right w:val="none" w:color="FFFFFF" w:sz="0" w:space="0"/>
          <w:insideH w:val="single" w:color="C8DDE2" w:sz="4" w:space="0"/>
          <w:insideV w:val="single" w:color="C8DDE2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2285"/>
        <w:gridCol w:w="2636"/>
        <w:gridCol w:w="2461"/>
      </w:tblGrid>
      <w:tr w14:paraId="0D718D4A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BED06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模块</w:t>
            </w:r>
          </w:p>
        </w:tc>
        <w:tc>
          <w:tcPr>
            <w:tcW w:w="1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150D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5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A9D80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4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D0D2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核心功能</w:t>
            </w:r>
          </w:p>
        </w:tc>
      </w:tr>
      <w:tr w14:paraId="174B066C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EEE2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数据预处理</w:t>
            </w:r>
          </w:p>
        </w:tc>
        <w:tc>
          <w:tcPr>
            <w:tcW w:w="1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E2680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RGB视频流（25 fps）</w:t>
            </w:r>
          </w:p>
        </w:tc>
        <w:tc>
          <w:tcPr>
            <w:tcW w:w="15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07461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归一化帧序列 I∈[0,1]</w:t>
            </w:r>
          </w:p>
        </w:tc>
        <w:tc>
          <w:tcPr>
            <w:tcW w:w="14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1D0F7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解码、缩放、像素归一化</w:t>
            </w:r>
          </w:p>
        </w:tc>
      </w:tr>
      <w:tr w14:paraId="64EDE7F8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E507F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目标检测模块</w:t>
            </w:r>
          </w:p>
        </w:tc>
        <w:tc>
          <w:tcPr>
            <w:tcW w:w="1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646F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单帧图像张量</w:t>
            </w:r>
          </w:p>
        </w:tc>
        <w:tc>
          <w:tcPr>
            <w:tcW w:w="15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C94CF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边界框、类别、置信度、Re-ID特征</w:t>
            </w:r>
          </w:p>
        </w:tc>
        <w:tc>
          <w:tcPr>
            <w:tcW w:w="14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B2CA3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目标定位与候选框提取</w:t>
            </w:r>
          </w:p>
        </w:tc>
      </w:tr>
      <w:tr w14:paraId="47960C92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51DF1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多类别识别模块</w:t>
            </w:r>
          </w:p>
        </w:tc>
        <w:tc>
          <w:tcPr>
            <w:tcW w:w="1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4EC8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裁剪目标图像+检测参数</w:t>
            </w:r>
          </w:p>
        </w:tc>
        <w:tc>
          <w:tcPr>
            <w:tcW w:w="15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FCFE6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细粒度类别标签、身份特征向量</w:t>
            </w:r>
          </w:p>
        </w:tc>
        <w:tc>
          <w:tcPr>
            <w:tcW w:w="14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3DF79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多目标精细分类与身份编码</w:t>
            </w:r>
          </w:p>
        </w:tc>
      </w:tr>
      <w:tr w14:paraId="05C66820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8E15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目标跟踪模块</w:t>
            </w:r>
          </w:p>
        </w:tc>
        <w:tc>
          <w:tcPr>
            <w:tcW w:w="1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6770D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检测/识别结果+历史运动状态</w:t>
            </w:r>
          </w:p>
        </w:tc>
        <w:tc>
          <w:tcPr>
            <w:tcW w:w="15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A6625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带轨迹ID的连续目标状态序列</w:t>
            </w:r>
          </w:p>
        </w:tc>
        <w:tc>
          <w:tcPr>
            <w:tcW w:w="14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2699B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跨帧关联、轨迹更新、ID保持</w:t>
            </w:r>
          </w:p>
        </w:tc>
      </w:tr>
      <w:tr w14:paraId="54460196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D3A03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轨迹优化与输出</w:t>
            </w:r>
          </w:p>
        </w:tc>
        <w:tc>
          <w:tcPr>
            <w:tcW w:w="1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57DEA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带ID目标序列</w:t>
            </w:r>
          </w:p>
        </w:tc>
        <w:tc>
          <w:tcPr>
            <w:tcW w:w="15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2208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目标轨迹与属性（含轨迹ID）</w:t>
            </w:r>
          </w:p>
        </w:tc>
        <w:tc>
          <w:tcPr>
            <w:tcW w:w="14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5103">
            <w:pPr>
              <w:spacing w:line="280" w:lineRule="auto"/>
              <w:jc w:val="left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轨迹平滑、断线</w:t>
            </w: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差值</w:t>
            </w:r>
          </w:p>
        </w:tc>
      </w:tr>
    </w:tbl>
    <w:p w14:paraId="63B4B890">
      <w:pPr>
        <w:spacing w:after="80"/>
        <w:rPr>
          <w:color w:val="auto"/>
        </w:rPr>
      </w:pPr>
    </w:p>
    <w:p w14:paraId="7F47F147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跟踪模块输出的图像航迹（轨迹ID、像素坐标、类别、外观特征）经标定转换到站心坐标后，由第三部分与第一部分融合航迹完成跨模态关联绑定，为全局目标补充视觉类别与图像证据。</w:t>
      </w:r>
    </w:p>
    <w:p w14:paraId="36A40257">
      <w:pPr>
        <w:pStyle w:val="3"/>
        <w:spacing w:before="280" w:after="160" w:line="350" w:lineRule="atLeast"/>
        <w:rPr>
          <w:color w:val="auto"/>
        </w:rPr>
      </w:pPr>
      <w:bookmarkStart w:id="3" w:name="_Toc29952"/>
      <w:r>
        <w:rPr>
          <w:rFonts w:ascii="Times New Roman" w:eastAsia="黑体"/>
          <w:b/>
          <w:bCs/>
          <w:color w:val="auto"/>
          <w:sz w:val="28"/>
          <w:szCs w:val="28"/>
        </w:rPr>
        <w:t>3  目标检测模块（JDR-YOLO检测分支）</w:t>
      </w:r>
      <w:bookmarkEnd w:id="3"/>
    </w:p>
    <w:p w14:paraId="2A375295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本模块为框架底层基础模块，核心功能是完成视频帧中所有感兴趣目标的位置定位、候选框提取，过滤海浪、天空、海岸等背景干扰，为后续识别、跟踪提供有效目标区域，是识别与跟踪的前置基础。</w:t>
      </w:r>
    </w:p>
    <w:p w14:paraId="0C8C962E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3.1  模块输入数据</w:t>
      </w:r>
    </w:p>
    <w:p w14:paraId="68A9C823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输入为RGB三通道视频帧张量，时序视频由连续单帧图像构成，定义为：</w:t>
      </w:r>
    </w:p>
    <w:p w14:paraId="6B15F663">
      <w:pPr>
        <w:spacing w:before="120" w:after="120" w:line="360" w:lineRule="atLeast"/>
        <w:jc w:val="center"/>
        <w:rPr>
          <w:color w:val="auto"/>
        </w:rPr>
      </w:pP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in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∈ </m:t>
        </m:r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R</m:t>
            </m:r>
            <m:ctrlPr>
              <w:rPr>
                <w:color w:val="auto"/>
              </w:rPr>
            </m:ctrlPr>
          </m:e>
          <m:sup>
            <m:r>
              <m:rPr/>
              <w:rPr>
                <w:color w:val="auto"/>
              </w:rPr>
              <m:t>B×C×H×W</m:t>
            </m:r>
            <m:ctrlPr>
              <w:rPr>
                <w:color w:val="auto"/>
              </w:rPr>
            </m:ctrlPr>
          </m:sup>
        </m:sSup>
      </m:oMath>
      <w:r>
        <w:rPr>
          <w:color w:val="auto"/>
          <w:sz w:val="24"/>
          <w:szCs w:val="24"/>
        </w:rPr>
        <w:t>　　　　</w:t>
      </w:r>
      <w:r>
        <w:rPr>
          <w:rFonts w:ascii="Times New Roman" w:eastAsia="宋体"/>
          <w:color w:val="auto"/>
          <w:sz w:val="22"/>
          <w:szCs w:val="22"/>
        </w:rPr>
        <w:t>(3-1)</w:t>
      </w:r>
    </w:p>
    <w:p w14:paraId="74AEBF09">
      <w:pPr>
        <w:spacing w:after="80"/>
        <w:rPr>
          <w:color w:val="auto"/>
        </w:rPr>
      </w:pPr>
    </w:p>
    <w:p w14:paraId="334DA54A">
      <w:pPr>
        <w:keepNext/>
        <w:spacing w:before="160" w:after="6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00500" cy="3238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F936">
      <w:pPr>
        <w:spacing w:after="16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图3-1  ShipsMOT数据集海面实景示例</w:t>
      </w:r>
    </w:p>
    <w:p w14:paraId="1C16C299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3.2  模块核心原理</w:t>
      </w:r>
    </w:p>
    <w:p w14:paraId="399012CD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检测网络基于YOLOv8主干改进：主干网络引入MultiCSP多分支特征融合模块，缓解检测任务与Re-ID任务之间的特征学习冲突；Neck部分引入RFB-CA模块，采用膨胀卷积扩大感受野，并结合坐标注意力机制，强化对多尺度目标的特征提取能力。网络采用联合检测与Re-ID的双任务解耦头结构：检测分支输出目标边界框坐标、类别预测结果与检测置信度；并行的Re-ID分支提取目标外观嵌入特征，两任务共享主干特征。针对海上场景目标尺度差异大的问题，网络采用多尺度特征金字塔结构；检测头使用WIoU损失，降低高长宽比船舶目标的框预测偏差。</w:t>
      </w:r>
    </w:p>
    <w:p w14:paraId="1C7DA9F2">
      <w:pPr>
        <w:keepNext/>
        <w:spacing w:before="160" w:after="6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381500" cy="26003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E59E">
      <w:pPr>
        <w:spacing w:after="16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图3-2  JDR-YOLO网络架构</w:t>
      </w:r>
    </w:p>
    <w:p w14:paraId="068884CA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3.3  模块输出定义</w:t>
      </w:r>
    </w:p>
    <w:tbl>
      <w:tblPr>
        <w:tblStyle w:val="15"/>
        <w:tblW w:w="5000" w:type="pct"/>
        <w:tblInd w:w="0" w:type="dxa"/>
        <w:tblBorders>
          <w:top w:val="single" w:color="C8DDE2" w:sz="4" w:space="0"/>
          <w:left w:val="single" w:color="1B6B7A" w:sz="12" w:space="0"/>
          <w:bottom w:val="single" w:color="C8DDE2" w:sz="4" w:space="0"/>
          <w:right w:val="single" w:color="C8DDE2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68"/>
      </w:tblGrid>
      <w:tr w14:paraId="1C12B20B">
        <w:tblPrEx>
          <w:tblBorders>
            <w:top w:val="single" w:color="C8DDE2" w:sz="4" w:space="0"/>
            <w:left w:val="single" w:color="1B6B7A" w:sz="12" w:space="0"/>
            <w:bottom w:val="single" w:color="C8DDE2" w:sz="4" w:space="0"/>
            <w:right w:val="single" w:color="C8DDE2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0" w:type="pct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7A4D3">
            <w:pPr>
              <w:spacing w:after="40" w:line="300" w:lineRule="auto"/>
              <w:jc w:val="both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输入：</w:t>
            </w:r>
            <w:r>
              <w:rPr>
                <w:rFonts w:ascii="Times New Roman" w:eastAsia="宋体"/>
                <w:color w:val="auto"/>
                <w:sz w:val="21"/>
                <w:szCs w:val="21"/>
              </w:rPr>
              <w:t>单帧图像张量 I_in（式(3-1)，B×3×H×W，像素归一化）</w:t>
            </w:r>
          </w:p>
          <w:p w14:paraId="4AF85FAA">
            <w:pPr>
              <w:spacing w:after="40" w:line="300" w:lineRule="auto"/>
              <w:jc w:val="both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处理：</w:t>
            </w:r>
            <w:r>
              <w:rPr>
                <w:rFonts w:ascii="Times New Roman" w:eastAsia="宋体"/>
                <w:color w:val="auto"/>
                <w:sz w:val="21"/>
                <w:szCs w:val="21"/>
              </w:rPr>
              <w:t>主干特征提取→多尺度融合→双任务解耦头推理→置信度筛选</w:t>
            </w:r>
          </w:p>
          <w:p w14:paraId="24937A49">
            <w:pPr>
              <w:spacing w:after="40" w:line="300" w:lineRule="auto"/>
              <w:jc w:val="both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输出：</w:t>
            </w:r>
            <w:r>
              <w:rPr>
                <w:rFonts w:ascii="Times New Roman" w:eastAsia="宋体"/>
                <w:color w:val="auto"/>
                <w:sz w:val="21"/>
                <w:szCs w:val="21"/>
              </w:rPr>
              <w:t>单帧有效目标集合：裁剪目标图像 I_crop、边界框 B_box、检测置信度 S_conf、Re-ID外观特征 F_reid</w:t>
            </w:r>
            <w:bookmarkStart w:id="8" w:name="_GoBack"/>
            <w:bookmarkEnd w:id="8"/>
          </w:p>
        </w:tc>
      </w:tr>
    </w:tbl>
    <w:p w14:paraId="391B0393">
      <w:pPr>
        <w:spacing w:after="80"/>
        <w:rPr>
          <w:color w:val="auto"/>
        </w:rPr>
      </w:pPr>
    </w:p>
    <w:p w14:paraId="499CBC12">
      <w:pPr>
        <w:spacing w:after="80" w:line="312" w:lineRule="auto"/>
        <w:ind w:firstLine="480"/>
        <w:jc w:val="both"/>
        <w:rPr>
          <w:color w:val="auto"/>
        </w:rPr>
      </w:pPr>
      <w:commentRangeStart w:id="3"/>
      <w:r>
        <w:rPr>
          <w:rFonts w:ascii="Times New Roman" w:eastAsia="宋体"/>
          <w:color w:val="auto"/>
          <w:sz w:val="24"/>
          <w:szCs w:val="24"/>
        </w:rPr>
        <w:t>输出三元组严格定义为：</w:t>
      </w:r>
      <w:commentRangeEnd w:id="3"/>
      <w:r>
        <w:commentReference w:id="3"/>
      </w:r>
    </w:p>
    <w:p w14:paraId="197523BD">
      <w:pPr>
        <w:spacing w:before="120" w:after="120" w:line="360" w:lineRule="atLeast"/>
        <w:jc w:val="center"/>
        <w:rPr>
          <w:color w:val="auto"/>
        </w:rPr>
      </w:pPr>
      <m:oMath>
        <m:d>
          <m:dPr>
            <m:begChr m:val="["/>
            <m:endChr m:val="]"/>
            <m:ctrlPr>
              <w:rPr>
                <w:color w:val="auto"/>
              </w:rPr>
            </m:ctrlPr>
          </m:dPr>
          <m:e>
            <m:sSub>
              <m:sSubPr>
                <m:ctrlPr>
                  <w:rPr>
                    <w:color w:val="auto"/>
                  </w:rPr>
                </m:ctrlPr>
              </m:sSubPr>
              <m:e>
                <m:r>
                  <m:rPr/>
                  <w:rPr>
                    <w:color w:val="auto"/>
                  </w:rPr>
                  <m:t>I</m:t>
                </m:r>
                <m:ctrlPr>
                  <w:rPr>
                    <w:color w:val="auto"/>
                  </w:rPr>
                </m:ctrlPr>
              </m:e>
              <m:sub>
                <m:r>
                  <m:rPr/>
                  <w:rPr>
                    <w:color w:val="auto"/>
                  </w:rPr>
                  <m:t>crop</m:t>
                </m:r>
                <m:ctrlPr>
                  <w:rPr>
                    <w:color w:val="auto"/>
                  </w:rPr>
                </m:ctrlPr>
              </m:sub>
            </m:sSub>
            <m:r>
              <m:rPr/>
              <w:rPr>
                <w:color w:val="auto"/>
              </w:rPr>
              <m:t xml:space="preserve"> ∈ </m:t>
            </m:r>
            <m:sSup>
              <m:sSupPr>
                <m:ctrlPr>
                  <w:rPr>
                    <w:color w:val="auto"/>
                  </w:rPr>
                </m:ctrlPr>
              </m:sSupPr>
              <m:e>
                <m:r>
                  <m:rPr/>
                  <w:rPr>
                    <w:color w:val="auto"/>
                  </w:rPr>
                  <m:t>R</m:t>
                </m:r>
                <m:ctrlPr>
                  <w:rPr>
                    <w:color w:val="auto"/>
                  </w:rPr>
                </m:ctrlPr>
              </m:e>
              <m:sup>
                <m:r>
                  <m:rPr/>
                  <w:rPr>
                    <w:color w:val="auto"/>
                  </w:rPr>
                  <m:t>N×3×h×w</m:t>
                </m:r>
                <m:ctrlPr>
                  <w:rPr>
                    <w:color w:val="auto"/>
                  </w:rPr>
                </m:ctrlPr>
              </m:sup>
            </m:sSup>
            <m:r>
              <m:rPr/>
              <w:rPr>
                <w:color w:val="auto"/>
              </w:rPr>
              <m:t>；　</m:t>
            </m:r>
            <m:sSub>
              <m:sSubPr>
                <m:ctrlPr>
                  <w:rPr>
                    <w:color w:val="auto"/>
                  </w:rPr>
                </m:ctrlPr>
              </m:sSubPr>
              <m:e>
                <m:r>
                  <m:rPr/>
                  <w:rPr>
                    <w:color w:val="auto"/>
                  </w:rPr>
                  <m:t>B</m:t>
                </m:r>
                <m:ctrlPr>
                  <w:rPr>
                    <w:color w:val="auto"/>
                  </w:rPr>
                </m:ctrlPr>
              </m:e>
              <m:sub>
                <m:r>
                  <m:rPr/>
                  <w:rPr>
                    <w:color w:val="auto"/>
                  </w:rPr>
                  <m:t>box</m:t>
                </m:r>
                <m:ctrlPr>
                  <w:rPr>
                    <w:color w:val="auto"/>
                  </w:rPr>
                </m:ctrlPr>
              </m:sub>
            </m:sSub>
            <m:r>
              <m:rPr/>
              <w:rPr>
                <w:color w:val="auto"/>
              </w:rPr>
              <m:t xml:space="preserve"> ∈ </m:t>
            </m:r>
            <m:sSup>
              <m:sSupPr>
                <m:ctrlPr>
                  <w:rPr>
                    <w:color w:val="auto"/>
                  </w:rPr>
                </m:ctrlPr>
              </m:sSupPr>
              <m:e>
                <m:r>
                  <m:rPr/>
                  <w:rPr>
                    <w:color w:val="auto"/>
                  </w:rPr>
                  <m:t>R</m:t>
                </m:r>
                <m:ctrlPr>
                  <w:rPr>
                    <w:color w:val="auto"/>
                  </w:rPr>
                </m:ctrlPr>
              </m:e>
              <m:sup>
                <m:r>
                  <m:rPr/>
                  <w:rPr>
                    <w:color w:val="auto"/>
                  </w:rPr>
                  <m:t>N×4</m:t>
                </m:r>
                <m:ctrlPr>
                  <w:rPr>
                    <w:color w:val="auto"/>
                  </w:rPr>
                </m:ctrlPr>
              </m:sup>
            </m:sSup>
            <m:r>
              <m:rPr/>
              <w:rPr>
                <w:color w:val="auto"/>
              </w:rPr>
              <m:t>；　</m:t>
            </m:r>
            <m:sSub>
              <m:sSubPr>
                <m:ctrlPr>
                  <w:rPr>
                    <w:color w:val="auto"/>
                  </w:rPr>
                </m:ctrlPr>
              </m:sSubPr>
              <m:e>
                <m:r>
                  <m:rPr/>
                  <w:rPr>
                    <w:color w:val="auto"/>
                  </w:rPr>
                  <m:t>S</m:t>
                </m:r>
                <m:ctrlPr>
                  <w:rPr>
                    <w:color w:val="auto"/>
                  </w:rPr>
                </m:ctrlPr>
              </m:e>
              <m:sub>
                <m:r>
                  <m:rPr/>
                  <w:rPr>
                    <w:color w:val="auto"/>
                  </w:rPr>
                  <m:t>conf</m:t>
                </m:r>
                <m:ctrlPr>
                  <w:rPr>
                    <w:color w:val="auto"/>
                  </w:rPr>
                </m:ctrlPr>
              </m:sub>
            </m:sSub>
            <m:r>
              <m:rPr/>
              <w:rPr>
                <w:color w:val="auto"/>
              </w:rPr>
              <m:t xml:space="preserve"> ∈ </m:t>
            </m:r>
            <m:sSup>
              <m:sSupPr>
                <m:ctrlPr>
                  <w:rPr>
                    <w:color w:val="auto"/>
                  </w:rPr>
                </m:ctrlPr>
              </m:sSupPr>
              <m:e>
                <m:r>
                  <m:rPr/>
                  <w:rPr>
                    <w:color w:val="auto"/>
                  </w:rPr>
                  <m:t>R</m:t>
                </m:r>
                <m:ctrlPr>
                  <w:rPr>
                    <w:color w:val="auto"/>
                  </w:rPr>
                </m:ctrlPr>
              </m:e>
              <m:sup>
                <m:r>
                  <m:rPr/>
                  <w:rPr>
                    <w:color w:val="auto"/>
                  </w:rPr>
                  <m:t>N</m:t>
                </m:r>
                <m:ctrlPr>
                  <w:rPr>
                    <w:color w:val="auto"/>
                  </w:rPr>
                </m:ctrlPr>
              </m:sup>
            </m:sSup>
            <m:ctrlPr>
              <w:rPr>
                <w:color w:val="auto"/>
              </w:rPr>
            </m:ctrlPr>
          </m:e>
        </m:d>
      </m:oMath>
      <w:r>
        <w:rPr>
          <w:color w:val="auto"/>
          <w:sz w:val="24"/>
          <w:szCs w:val="24"/>
        </w:rPr>
        <w:t>　　　　</w:t>
      </w:r>
      <w:r>
        <w:rPr>
          <w:rFonts w:ascii="Times New Roman" w:eastAsia="宋体"/>
          <w:color w:val="auto"/>
          <w:sz w:val="22"/>
          <w:szCs w:val="22"/>
        </w:rPr>
        <w:t>(3-2)</w:t>
      </w:r>
    </w:p>
    <w:p w14:paraId="11578CAC">
      <w:pPr>
        <w:keepNext/>
        <w:spacing w:before="160" w:after="8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表3-</w:t>
      </w:r>
      <w:r>
        <w:rPr>
          <w:rFonts w:hint="eastAsia" w:eastAsia="黑体"/>
          <w:b/>
          <w:bCs/>
          <w:color w:val="auto"/>
          <w:sz w:val="21"/>
          <w:szCs w:val="21"/>
          <w:lang w:val="en-US" w:eastAsia="zh-CN"/>
        </w:rPr>
        <w:t>1</w:t>
      </w:r>
      <w:r>
        <w:rPr>
          <w:rFonts w:ascii="Times New Roman" w:eastAsia="黑体"/>
          <w:b/>
          <w:bCs/>
          <w:color w:val="auto"/>
          <w:sz w:val="21"/>
          <w:szCs w:val="21"/>
        </w:rPr>
        <w:t xml:space="preserve">  检测模块输出符号说明</w:t>
      </w:r>
    </w:p>
    <w:tbl>
      <w:tblPr>
        <w:tblStyle w:val="15"/>
        <w:tblW w:w="5000" w:type="pct"/>
        <w:tblInd w:w="0" w:type="dxa"/>
        <w:tblBorders>
          <w:top w:val="single" w:color="1B6B7A" w:sz="8" w:space="0"/>
          <w:left w:val="none" w:color="FFFFFF" w:sz="0" w:space="0"/>
          <w:bottom w:val="single" w:color="1B6B7A" w:sz="8" w:space="0"/>
          <w:right w:val="none" w:color="FFFFFF" w:sz="0" w:space="0"/>
          <w:insideH w:val="single" w:color="C8DDE2" w:sz="4" w:space="0"/>
          <w:insideV w:val="single" w:color="C8DDE2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3515"/>
        <w:gridCol w:w="4043"/>
      </w:tblGrid>
      <w:tr w14:paraId="5BDF8C4D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CD4D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符号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85B7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含义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4E0F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维度/说明</w:t>
            </w:r>
          </w:p>
        </w:tc>
      </w:tr>
      <w:tr w14:paraId="35A8AD24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DA9F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N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093D0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单帧检测有效目标数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41735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经置信度阈值筛选后保留</w:t>
            </w:r>
          </w:p>
        </w:tc>
      </w:tr>
      <w:tr w14:paraId="4AE3B0C7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4C62D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I_crop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0548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单目标局部RGB图像张量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A011F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h、w为目标自适应尺寸</w:t>
            </w:r>
          </w:p>
        </w:tc>
      </w:tr>
      <w:tr w14:paraId="1A2B8F66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595B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B_box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787ED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目标边界框坐标矩阵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F130E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N×4，每行为(x, y, w, h)</w:t>
            </w:r>
          </w:p>
        </w:tc>
      </w:tr>
      <w:tr w14:paraId="09B23F14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9659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S_conf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BEA10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目标检测置信度向量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2465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N维，[0, 1]</w:t>
            </w:r>
          </w:p>
        </w:tc>
      </w:tr>
      <w:tr w14:paraId="2EC1DD7A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27B0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F_reid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F570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目标外观嵌入特征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1ABD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N×D，D为特征维度</w:t>
            </w:r>
          </w:p>
        </w:tc>
      </w:tr>
    </w:tbl>
    <w:p w14:paraId="74F7B76E">
      <w:pPr>
        <w:spacing w:after="80"/>
        <w:rPr>
          <w:color w:val="auto"/>
        </w:rPr>
      </w:pPr>
    </w:p>
    <w:p w14:paraId="38B625C2">
      <w:pPr>
        <w:pStyle w:val="3"/>
        <w:spacing w:before="280" w:after="160" w:line="350" w:lineRule="atLeast"/>
        <w:rPr>
          <w:color w:val="auto"/>
        </w:rPr>
      </w:pPr>
      <w:bookmarkStart w:id="4" w:name="_Toc9557"/>
      <w:r>
        <w:rPr>
          <w:rFonts w:ascii="Times New Roman" w:eastAsia="黑体"/>
          <w:b/>
          <w:bCs/>
          <w:color w:val="auto"/>
          <w:sz w:val="28"/>
          <w:szCs w:val="28"/>
        </w:rPr>
        <w:t>4  目标识别模块（多分类与Re-ID特征分支）</w:t>
      </w:r>
      <w:bookmarkEnd w:id="4"/>
    </w:p>
    <w:p w14:paraId="6B996518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本模块为框架核心感知模块，承接检测模块输出的目标候选区域，完成多目标精细分类、目标身份特征提取，实现人、车、多品类船艇的精准区分，解决相似目标混淆问题，为跟踪模块提供身份特征支撑。</w:t>
      </w:r>
    </w:p>
    <w:p w14:paraId="7E5884A7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4.1  模块输入数据</w:t>
      </w:r>
    </w:p>
    <w:p w14:paraId="443ECCE9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识别模块</w:t>
      </w:r>
      <w:commentRangeStart w:id="4"/>
      <w:r>
        <w:rPr>
          <w:rFonts w:ascii="Times New Roman" w:eastAsia="宋体"/>
          <w:color w:val="auto"/>
          <w:sz w:val="24"/>
          <w:szCs w:val="24"/>
        </w:rPr>
        <w:t>承接检测模块输出的裁剪目标局部图像与检测结构化参数</w:t>
      </w:r>
      <w:commentRangeEnd w:id="4"/>
      <w:r>
        <w:commentReference w:id="4"/>
      </w:r>
      <w:r>
        <w:rPr>
          <w:rFonts w:ascii="Times New Roman" w:eastAsia="宋体"/>
          <w:color w:val="auto"/>
          <w:sz w:val="24"/>
          <w:szCs w:val="24"/>
        </w:rPr>
        <w:t>（式(3-2)）。输入仅保留检测模块筛选出的有效目标局部图像，剔除海浪、天空、海岸等无效背景；输入目标样本覆盖全部预设类别：人员、民用汽车、军用装甲车、军舰、武装巡逻艇、民用客船、商用运输船、捕鱼船、挖沙船，并包含不同光照、不同尺度、不同视角、轻微遮挡的目标样本，所有数据归一化至模型特征输入标准维度。</w:t>
      </w:r>
    </w:p>
    <w:p w14:paraId="4EBCF77A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4.2  模块核心原理</w:t>
      </w:r>
    </w:p>
    <w:p w14:paraId="4F8C18D7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采用检测-识别双任务特征共享机制：在主干特征提取基础上，独立设置多分类头与Re-ID身份特征头。多分类头依托交叉熵损失完成细粒度类别识别，精准区分不同人车、船艇类别；Re-ID特征头提取目标专属外观特征向量，将同类不同个体、相似不同类别目标进行特征差异化编码，解决渔船与巡逻艇、民用汽车与军用装甲车等相似目标识别混淆问题。</w:t>
      </w:r>
    </w:p>
    <w:tbl>
      <w:tblPr>
        <w:tblStyle w:val="15"/>
        <w:tblW w:w="5000" w:type="pct"/>
        <w:tblInd w:w="0" w:type="dxa"/>
        <w:tblBorders>
          <w:top w:val="single" w:color="C8DDE2" w:sz="4" w:space="0"/>
          <w:left w:val="single" w:color="1B6B7A" w:sz="12" w:space="0"/>
          <w:bottom w:val="single" w:color="C8DDE2" w:sz="4" w:space="0"/>
          <w:right w:val="single" w:color="C8DDE2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68"/>
      </w:tblGrid>
      <w:tr w14:paraId="3476B702">
        <w:tblPrEx>
          <w:tblBorders>
            <w:top w:val="single" w:color="C8DDE2" w:sz="4" w:space="0"/>
            <w:left w:val="single" w:color="1B6B7A" w:sz="12" w:space="0"/>
            <w:bottom w:val="single" w:color="C8DDE2" w:sz="4" w:space="0"/>
            <w:right w:val="single" w:color="C8DDE2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0" w:type="pct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33F5F">
            <w:pPr>
              <w:spacing w:after="40" w:line="300" w:lineRule="auto"/>
              <w:jc w:val="both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输入：</w:t>
            </w:r>
            <w:r>
              <w:rPr>
                <w:rFonts w:ascii="Times New Roman" w:eastAsia="宋体"/>
                <w:color w:val="auto"/>
                <w:sz w:val="21"/>
                <w:szCs w:val="21"/>
              </w:rPr>
              <w:t>式(3-2)的目标集合 {I_crop, B_box, S_conf}</w:t>
            </w:r>
          </w:p>
          <w:p w14:paraId="00C1BC08">
            <w:pPr>
              <w:spacing w:after="40" w:line="300" w:lineRule="auto"/>
              <w:jc w:val="both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处理：</w:t>
            </w:r>
            <w:r>
              <w:rPr>
                <w:rFonts w:ascii="Times New Roman" w:eastAsia="宋体"/>
                <w:color w:val="auto"/>
                <w:sz w:val="21"/>
                <w:szCs w:val="21"/>
              </w:rPr>
              <w:t>共享主干特征→多分类头（交叉熵）→Re-ID身份特征头（嵌入编码）</w:t>
            </w:r>
          </w:p>
          <w:p w14:paraId="5B5C6933">
            <w:pPr>
              <w:spacing w:after="40" w:line="300" w:lineRule="auto"/>
              <w:jc w:val="both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输出：</w:t>
            </w:r>
            <w:r>
              <w:rPr>
                <w:rFonts w:ascii="Times New Roman" w:eastAsia="宋体"/>
                <w:color w:val="auto"/>
                <w:sz w:val="21"/>
                <w:szCs w:val="21"/>
              </w:rPr>
              <w:t>目标类别标签 C_cls 与唯一身份特征向量 F_reid（供跟踪模块与图像航迹输出使用）</w:t>
            </w:r>
          </w:p>
        </w:tc>
      </w:tr>
    </w:tbl>
    <w:p w14:paraId="57A918DD">
      <w:pPr>
        <w:spacing w:after="80"/>
        <w:rPr>
          <w:color w:val="auto"/>
        </w:rPr>
      </w:pPr>
    </w:p>
    <w:p w14:paraId="02E55E96">
      <w:pPr>
        <w:pStyle w:val="3"/>
        <w:spacing w:before="280" w:after="160" w:line="350" w:lineRule="atLeast"/>
        <w:rPr>
          <w:color w:val="auto"/>
        </w:rPr>
      </w:pPr>
      <w:bookmarkStart w:id="5" w:name="_Toc1676"/>
      <w:r>
        <w:rPr>
          <w:rFonts w:ascii="Times New Roman" w:eastAsia="黑体"/>
          <w:b/>
          <w:bCs/>
          <w:color w:val="auto"/>
          <w:sz w:val="28"/>
          <w:szCs w:val="28"/>
        </w:rPr>
        <w:t>5  目标跟踪模块（CSTrack多级关联）</w:t>
      </w:r>
      <w:bookmarkEnd w:id="5"/>
    </w:p>
    <w:p w14:paraId="0589E4B4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本模块为框架时序优化模块，承接识别模块的目标类别、身份特征与检测定位结果，结合视频时序信息，完成多目标时序关联、轨迹持续更新、ID稳定保持，实现视频连续帧的动态目标跟踪。</w:t>
      </w:r>
    </w:p>
    <w:p w14:paraId="463EEE57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5.1  模块输入数据</w:t>
      </w:r>
    </w:p>
    <w:p w14:paraId="127535F8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跟踪模块为多模态时序融合输入，整合检测位置、识别类别、</w:t>
      </w:r>
      <w:commentRangeStart w:id="5"/>
      <w:r>
        <w:rPr>
          <w:rFonts w:ascii="Times New Roman" w:eastAsia="宋体"/>
          <w:color w:val="auto"/>
          <w:sz w:val="24"/>
          <w:szCs w:val="24"/>
        </w:rPr>
        <w:t>外观特征</w:t>
      </w:r>
      <w:commentRangeEnd w:id="5"/>
      <w:r>
        <w:commentReference w:id="5"/>
      </w:r>
      <w:r>
        <w:rPr>
          <w:rFonts w:ascii="Times New Roman" w:eastAsia="宋体"/>
          <w:color w:val="auto"/>
          <w:sz w:val="24"/>
          <w:szCs w:val="24"/>
        </w:rPr>
        <w:t>与历史运动参数，输入张量定义为：</w:t>
      </w:r>
    </w:p>
    <w:p w14:paraId="07EDF90B">
      <w:pPr>
        <w:spacing w:before="120" w:after="120" w:line="360" w:lineRule="atLeast"/>
        <w:jc w:val="center"/>
        <w:rPr>
          <w:color w:val="auto"/>
        </w:rPr>
      </w:pP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Input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track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= </m:t>
        </m:r>
        <m:d>
          <m:dPr>
            <m:begChr m:val="["/>
            <m:endChr m:val="]"/>
            <m:ctrlPr>
              <w:rPr>
                <w:color w:val="auto"/>
              </w:rPr>
            </m:ctrlPr>
          </m:dPr>
          <m:e>
            <m:sSubSup>
              <m:sSubSupPr>
                <m:ctrlPr>
                  <w:rPr>
                    <w:color w:val="auto"/>
                  </w:rPr>
                </m:ctrlPr>
              </m:sSubSupPr>
              <m:e>
                <m:r>
                  <m:rPr/>
                  <w:rPr>
                    <w:color w:val="auto"/>
                  </w:rPr>
                  <m:t>B</m:t>
                </m:r>
                <m:ctrlPr>
                  <w:rPr>
                    <w:color w:val="auto"/>
                  </w:rPr>
                </m:ctrlPr>
              </m:e>
              <m:sub>
                <m:r>
                  <m:rPr/>
                  <w:rPr>
                    <w:color w:val="auto"/>
                  </w:rPr>
                  <m:t>box</m:t>
                </m:r>
                <m:ctrlPr>
                  <w:rPr>
                    <w:color w:val="auto"/>
                  </w:rPr>
                </m:ctrlPr>
              </m:sub>
              <m:sup>
                <m:r>
                  <m:rPr/>
                  <w:rPr>
                    <w:color w:val="auto"/>
                  </w:rPr>
                  <m:t>t</m:t>
                </m:r>
                <m:ctrlPr>
                  <w:rPr>
                    <w:color w:val="auto"/>
                  </w:rPr>
                </m:ctrlPr>
              </m:sup>
            </m:sSubSup>
            <m:r>
              <m:rPr/>
              <w:rPr>
                <w:color w:val="auto"/>
              </w:rPr>
              <m:t>，</m:t>
            </m:r>
            <m:sSubSup>
              <m:sSubSupPr>
                <m:ctrlPr>
                  <w:rPr>
                    <w:color w:val="auto"/>
                  </w:rPr>
                </m:ctrlPr>
              </m:sSubSupPr>
              <m:e>
                <m:r>
                  <m:rPr/>
                  <w:rPr>
                    <w:color w:val="auto"/>
                  </w:rPr>
                  <m:t>C</m:t>
                </m:r>
                <m:ctrlPr>
                  <w:rPr>
                    <w:color w:val="auto"/>
                  </w:rPr>
                </m:ctrlPr>
              </m:e>
              <m:sub>
                <m:r>
                  <m:rPr/>
                  <w:rPr>
                    <w:color w:val="auto"/>
                  </w:rPr>
                  <m:t>cls</m:t>
                </m:r>
                <m:ctrlPr>
                  <w:rPr>
                    <w:color w:val="auto"/>
                  </w:rPr>
                </m:ctrlPr>
              </m:sub>
              <m:sup>
                <m:r>
                  <m:rPr/>
                  <w:rPr>
                    <w:color w:val="auto"/>
                  </w:rPr>
                  <m:t>t</m:t>
                </m:r>
                <m:ctrlPr>
                  <w:rPr>
                    <w:color w:val="auto"/>
                  </w:rPr>
                </m:ctrlPr>
              </m:sup>
            </m:sSubSup>
            <m:r>
              <m:rPr/>
              <w:rPr>
                <w:color w:val="auto"/>
              </w:rPr>
              <m:t>，</m:t>
            </m:r>
            <m:sSubSup>
              <m:sSubSupPr>
                <m:ctrlPr>
                  <w:rPr>
                    <w:color w:val="auto"/>
                  </w:rPr>
                </m:ctrlPr>
              </m:sSubSupPr>
              <m:e>
                <m:r>
                  <m:rPr/>
                  <w:rPr>
                    <w:color w:val="auto"/>
                  </w:rPr>
                  <m:t>F</m:t>
                </m:r>
                <m:ctrlPr>
                  <w:rPr>
                    <w:color w:val="auto"/>
                  </w:rPr>
                </m:ctrlPr>
              </m:e>
              <m:sub>
                <m:r>
                  <m:rPr/>
                  <w:rPr>
                    <w:color w:val="auto"/>
                  </w:rPr>
                  <m:t>reid</m:t>
                </m:r>
                <m:ctrlPr>
                  <w:rPr>
                    <w:color w:val="auto"/>
                  </w:rPr>
                </m:ctrlPr>
              </m:sub>
              <m:sup>
                <m:r>
                  <m:rPr/>
                  <w:rPr>
                    <w:color w:val="auto"/>
                  </w:rPr>
                  <m:t>t</m:t>
                </m:r>
                <m:ctrlPr>
                  <w:rPr>
                    <w:color w:val="auto"/>
                  </w:rPr>
                </m:ctrlPr>
              </m:sup>
            </m:sSubSup>
            <m:r>
              <m:rPr/>
              <w:rPr>
                <w:color w:val="auto"/>
              </w:rPr>
              <m:t>，</m:t>
            </m:r>
            <m:sSubSup>
              <m:sSubSupPr>
                <m:ctrlPr>
                  <w:rPr>
                    <w:color w:val="auto"/>
                  </w:rPr>
                </m:ctrlPr>
              </m:sSubSupPr>
              <m:e>
                <m:r>
                  <m:rPr/>
                  <w:rPr>
                    <w:color w:val="auto"/>
                  </w:rPr>
                  <m:t>M</m:t>
                </m:r>
                <m:ctrlPr>
                  <w:rPr>
                    <w:color w:val="auto"/>
                  </w:rPr>
                </m:ctrlPr>
              </m:e>
              <m:sub>
                <m:r>
                  <m:rPr/>
                  <w:rPr>
                    <w:color w:val="auto"/>
                  </w:rPr>
                  <m:t>state</m:t>
                </m:r>
                <m:ctrlPr>
                  <w:rPr>
                    <w:color w:val="auto"/>
                  </w:rPr>
                </m:ctrlPr>
              </m:sub>
              <m:sup>
                <m:r>
                  <m:rPr/>
                  <w:rPr>
                    <w:color w:val="auto"/>
                  </w:rPr>
                  <m:t>t−1</m:t>
                </m:r>
                <m:ctrlPr>
                  <w:rPr>
                    <w:color w:val="auto"/>
                  </w:rPr>
                </m:ctrlPr>
              </m:sup>
            </m:sSubSup>
            <m:ctrlPr>
              <w:rPr>
                <w:color w:val="auto"/>
              </w:rPr>
            </m:ctrlPr>
          </m:e>
        </m:d>
      </m:oMath>
      <w:r>
        <w:rPr>
          <w:color w:val="auto"/>
          <w:sz w:val="24"/>
          <w:szCs w:val="24"/>
        </w:rPr>
        <w:t>　　　　</w:t>
      </w:r>
      <w:r>
        <w:rPr>
          <w:rFonts w:ascii="Times New Roman" w:eastAsia="宋体"/>
          <w:color w:val="auto"/>
          <w:sz w:val="22"/>
          <w:szCs w:val="22"/>
        </w:rPr>
        <w:t>(5-1)</w:t>
      </w:r>
    </w:p>
    <w:p w14:paraId="397107B8">
      <w:pPr>
        <w:spacing w:before="120" w:after="120" w:line="360" w:lineRule="atLeast"/>
        <w:jc w:val="center"/>
        <w:rPr>
          <w:color w:val="auto"/>
        </w:rPr>
      </w:pPr>
      <m:oMath>
        <m:sSubSup>
          <m:sSubSupPr>
            <m:ctrlPr>
              <w:rPr>
                <w:color w:val="auto"/>
              </w:rPr>
            </m:ctrlPr>
          </m:sSubSupPr>
          <m:e>
            <m:r>
              <m:rPr/>
              <w:rPr>
                <w:color w:val="auto"/>
              </w:rPr>
              <m:t>F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reid</m:t>
            </m:r>
            <m:ctrlPr>
              <w:rPr>
                <w:color w:val="auto"/>
              </w:rPr>
            </m:ctrlPr>
          </m:sub>
          <m:sup>
            <m:r>
              <m:rPr/>
              <w:rPr>
                <w:color w:val="auto"/>
              </w:rPr>
              <m:t>t</m:t>
            </m:r>
            <m:ctrlPr>
              <w:rPr>
                <w:color w:val="auto"/>
              </w:rPr>
            </m:ctrlPr>
          </m:sup>
        </m:sSubSup>
        <m:r>
          <m:rPr/>
          <w:rPr>
            <w:color w:val="auto"/>
          </w:rPr>
          <m:t xml:space="preserve"> ∈ </m:t>
        </m:r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R</m:t>
            </m:r>
            <m:ctrlPr>
              <w:rPr>
                <w:color w:val="auto"/>
              </w:rPr>
            </m:ctrlPr>
          </m:e>
          <m:sup>
            <m:r>
              <m:rPr/>
              <w:rPr>
                <w:color w:val="auto"/>
              </w:rPr>
              <m:t>N×D</m:t>
            </m:r>
            <m:ctrlPr>
              <w:rPr>
                <w:color w:val="auto"/>
              </w:rPr>
            </m:ctrlPr>
          </m:sup>
        </m:sSup>
        <m:r>
          <m:rPr/>
          <w:rPr>
            <w:color w:val="auto"/>
          </w:rPr>
          <m:t>，　</m:t>
        </m:r>
        <m:sSubSup>
          <m:sSubSupPr>
            <m:ctrlPr>
              <w:rPr>
                <w:color w:val="auto"/>
              </w:rPr>
            </m:ctrlPr>
          </m:sSubSupPr>
          <m:e>
            <m:r>
              <m:rPr/>
              <w:rPr>
                <w:color w:val="auto"/>
              </w:rPr>
              <m:t>M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state</m:t>
            </m:r>
            <m:ctrlPr>
              <w:rPr>
                <w:color w:val="auto"/>
              </w:rPr>
            </m:ctrlPr>
          </m:sub>
          <m:sup>
            <m:r>
              <m:rPr/>
              <w:rPr>
                <w:color w:val="auto"/>
              </w:rPr>
              <m:t>t−1</m:t>
            </m:r>
            <m:ctrlPr>
              <w:rPr>
                <w:color w:val="auto"/>
              </w:rPr>
            </m:ctrlPr>
          </m:sup>
        </m:sSubSup>
        <m:r>
          <m:rPr/>
          <w:rPr>
            <w:color w:val="auto"/>
          </w:rPr>
          <m:t xml:space="preserve"> ∈ </m:t>
        </m:r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R</m:t>
            </m:r>
            <m:ctrlPr>
              <w:rPr>
                <w:color w:val="auto"/>
              </w:rPr>
            </m:ctrlPr>
          </m:e>
          <m:sup>
            <m:r>
              <m:rPr/>
              <w:rPr>
                <w:color w:val="auto"/>
              </w:rPr>
              <m:t>N×8</m:t>
            </m:r>
            <m:ctrlPr>
              <w:rPr>
                <w:color w:val="auto"/>
              </w:rPr>
            </m:ctrlPr>
          </m:sup>
        </m:sSup>
      </m:oMath>
      <w:r>
        <w:rPr>
          <w:color w:val="auto"/>
          <w:sz w:val="24"/>
          <w:szCs w:val="24"/>
        </w:rPr>
        <w:t>　　　　</w:t>
      </w:r>
      <w:r>
        <w:rPr>
          <w:rFonts w:ascii="Times New Roman" w:eastAsia="宋体"/>
          <w:color w:val="auto"/>
          <w:sz w:val="22"/>
          <w:szCs w:val="22"/>
        </w:rPr>
        <w:t>(5-2)</w:t>
      </w:r>
    </w:p>
    <w:p w14:paraId="47AAF850">
      <w:pPr>
        <w:keepNext/>
        <w:spacing w:before="160" w:after="8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表5-1  跟踪模块输入符号说明</w:t>
      </w:r>
    </w:p>
    <w:tbl>
      <w:tblPr>
        <w:tblStyle w:val="15"/>
        <w:tblW w:w="5000" w:type="pct"/>
        <w:tblInd w:w="0" w:type="dxa"/>
        <w:tblBorders>
          <w:top w:val="single" w:color="1B6B7A" w:sz="8" w:space="0"/>
          <w:left w:val="none" w:color="FFFFFF" w:sz="0" w:space="0"/>
          <w:bottom w:val="single" w:color="1B6B7A" w:sz="8" w:space="0"/>
          <w:right w:val="none" w:color="FFFFFF" w:sz="0" w:space="0"/>
          <w:insideH w:val="single" w:color="C8DDE2" w:sz="4" w:space="0"/>
          <w:insideV w:val="single" w:color="C8DDE2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3515"/>
        <w:gridCol w:w="3691"/>
      </w:tblGrid>
      <w:tr w14:paraId="7B4A9471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D8CF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符号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56E0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含义</w:t>
            </w:r>
          </w:p>
        </w:tc>
        <w:tc>
          <w:tcPr>
            <w:tcW w:w="21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E0B98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维度/说明</w:t>
            </w:r>
          </w:p>
        </w:tc>
      </w:tr>
      <w:tr w14:paraId="0AB7BDA3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04E2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B_boxᵗ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0475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t时刻检测框坐标</w:t>
            </w:r>
          </w:p>
        </w:tc>
        <w:tc>
          <w:tcPr>
            <w:tcW w:w="21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0D5A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N×4，(x, y, w, h)</w:t>
            </w:r>
          </w:p>
        </w:tc>
      </w:tr>
      <w:tr w14:paraId="3402C75B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ED578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C_clsᵗ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27F8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t时刻目标类别标签</w:t>
            </w:r>
          </w:p>
        </w:tc>
        <w:tc>
          <w:tcPr>
            <w:tcW w:w="21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65E95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N维</w:t>
            </w:r>
          </w:p>
        </w:tc>
      </w:tr>
      <w:tr w14:paraId="40F5B862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B0368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F_reidᵗ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2998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Re-ID高维外观特征</w:t>
            </w:r>
          </w:p>
        </w:tc>
        <w:tc>
          <w:tcPr>
            <w:tcW w:w="21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D063D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N×D，D为特征维度</w:t>
            </w:r>
          </w:p>
        </w:tc>
      </w:tr>
      <w:tr w14:paraId="3A4EB003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544F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M_stateᵗ⁻¹</w:t>
            </w:r>
          </w:p>
        </w:tc>
        <w:tc>
          <w:tcPr>
            <w:tcW w:w="20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7A585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上一帧卡尔曼运动状态向量</w:t>
            </w:r>
          </w:p>
        </w:tc>
        <w:tc>
          <w:tcPr>
            <w:tcW w:w="21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78F24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N×8，含位置、速度、尺度、加速度时序参数</w:t>
            </w:r>
          </w:p>
        </w:tc>
      </w:tr>
    </w:tbl>
    <w:p w14:paraId="77740317">
      <w:pPr>
        <w:spacing w:after="80"/>
        <w:rPr>
          <w:color w:val="auto"/>
        </w:rPr>
      </w:pPr>
    </w:p>
    <w:p w14:paraId="40CED89D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输入涵盖目标匀速航行、机动变向、局部遮挡、尺度渐变、光照突变等动态场景数据，同时包含新生目标、消失目标、重叠目标的完整时序数据，所有张量时序严格对齐。</w:t>
      </w:r>
    </w:p>
    <w:p w14:paraId="73398857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5.2  模块核心原理</w:t>
      </w:r>
    </w:p>
    <w:p w14:paraId="2B1C4204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原生采用卡尔曼滤波运动预测+CAFF自适应特征融合的两级关联策略：首先通过卡尔曼滤波基于历史轨迹预测当前帧目标运动状态，生成运动特征；再通过CAFF模块根据检测置信度自适应融合Re-ID外观特征与运动特征，计算目标匹配相似度；最后通过两级关联机制，优先匹配高置信度稳定目标，召回低置信度遮挡目标，实现跨帧目标ID绑定与轨迹持续更新，抑制船舶、车辆目标跟踪ID跳变、轨迹漂移问题。</w:t>
      </w:r>
    </w:p>
    <w:p w14:paraId="6EA08059">
      <w:pPr>
        <w:keepNext/>
        <w:spacing w:before="160" w:after="6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10000" cy="31718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E720">
      <w:pPr>
        <w:spacing w:after="16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图5-</w:t>
      </w:r>
      <w:r>
        <w:rPr>
          <w:rFonts w:hint="eastAsia" w:eastAsia="黑体"/>
          <w:b/>
          <w:bCs/>
          <w:color w:val="auto"/>
          <w:sz w:val="21"/>
          <w:szCs w:val="21"/>
          <w:lang w:val="en-US" w:eastAsia="zh-CN"/>
        </w:rPr>
        <w:t>1</w:t>
      </w:r>
      <w:r>
        <w:rPr>
          <w:rFonts w:ascii="Times New Roman" w:eastAsia="黑体"/>
          <w:b/>
          <w:bCs/>
          <w:color w:val="auto"/>
          <w:sz w:val="21"/>
          <w:szCs w:val="21"/>
        </w:rPr>
        <w:t xml:space="preserve">  CSTrack多级关联架构</w:t>
      </w:r>
    </w:p>
    <w:tbl>
      <w:tblPr>
        <w:tblStyle w:val="15"/>
        <w:tblW w:w="5000" w:type="pct"/>
        <w:tblInd w:w="0" w:type="dxa"/>
        <w:tblBorders>
          <w:top w:val="single" w:color="C8DDE2" w:sz="4" w:space="0"/>
          <w:left w:val="single" w:color="1B6B7A" w:sz="12" w:space="0"/>
          <w:bottom w:val="single" w:color="C8DDE2" w:sz="4" w:space="0"/>
          <w:right w:val="single" w:color="C8DDE2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68"/>
      </w:tblGrid>
      <w:tr w14:paraId="71A1094B">
        <w:tblPrEx>
          <w:tblBorders>
            <w:top w:val="single" w:color="C8DDE2" w:sz="4" w:space="0"/>
            <w:left w:val="single" w:color="1B6B7A" w:sz="12" w:space="0"/>
            <w:bottom w:val="single" w:color="C8DDE2" w:sz="4" w:space="0"/>
            <w:right w:val="single" w:color="C8DDE2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0" w:type="pct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BEF2E">
            <w:pPr>
              <w:spacing w:after="40" w:line="300" w:lineRule="auto"/>
              <w:jc w:val="both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输入：</w:t>
            </w:r>
            <w:r>
              <w:rPr>
                <w:rFonts w:ascii="Times New Roman" w:eastAsia="宋体"/>
                <w:color w:val="auto"/>
                <w:sz w:val="21"/>
                <w:szCs w:val="21"/>
              </w:rPr>
              <w:t>式(5-1)的多模态时序输入（检测框、类别、Re-ID特征、历史运动状态）</w:t>
            </w:r>
          </w:p>
          <w:p w14:paraId="083767C1">
            <w:pPr>
              <w:spacing w:after="40" w:line="300" w:lineRule="auto"/>
              <w:jc w:val="both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处理：</w:t>
            </w:r>
            <w:r>
              <w:rPr>
                <w:rFonts w:ascii="Times New Roman" w:eastAsia="宋体"/>
                <w:color w:val="auto"/>
                <w:sz w:val="21"/>
                <w:szCs w:val="21"/>
              </w:rPr>
              <w:t>卡尔曼运动预测→CAFF自适应特征融合→两级关联（高置信度优先，低置信度召回）</w:t>
            </w:r>
          </w:p>
          <w:p w14:paraId="00E306CB">
            <w:pPr>
              <w:spacing w:after="40" w:line="300" w:lineRule="auto"/>
              <w:jc w:val="both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输出：</w:t>
            </w:r>
            <w:r>
              <w:rPr>
                <w:rFonts w:ascii="Times New Roman" w:eastAsia="宋体"/>
                <w:color w:val="auto"/>
                <w:sz w:val="21"/>
                <w:szCs w:val="21"/>
              </w:rPr>
              <w:t>带轨迹ID的连续目标状态序列（轨迹ID、像素位置、类别、外观特征），供轨迹优化与跨模态关联使用</w:t>
            </w:r>
          </w:p>
        </w:tc>
      </w:tr>
    </w:tbl>
    <w:p w14:paraId="515D496E">
      <w:pPr>
        <w:spacing w:after="80"/>
        <w:rPr>
          <w:color w:val="auto"/>
        </w:rPr>
      </w:pPr>
    </w:p>
    <w:p w14:paraId="7804207D">
      <w:pPr>
        <w:pStyle w:val="3"/>
        <w:spacing w:before="280" w:after="160" w:line="350" w:lineRule="atLeast"/>
        <w:rPr>
          <w:color w:val="auto"/>
        </w:rPr>
      </w:pPr>
      <w:bookmarkStart w:id="6" w:name="_Toc25710"/>
      <w:r>
        <w:rPr>
          <w:rFonts w:ascii="Times New Roman" w:eastAsia="黑体"/>
          <w:b/>
          <w:bCs/>
          <w:color w:val="auto"/>
          <w:sz w:val="28"/>
          <w:szCs w:val="28"/>
        </w:rPr>
        <w:t>6  多任务损失函数体系</w:t>
      </w:r>
      <w:bookmarkEnd w:id="6"/>
    </w:p>
    <w:p w14:paraId="7AEB08C1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方案采用多任务联合损失函数，分别对应检测、识别、跟踪三大模块的任务优化，由检测损失、Re-ID识别特征损失、跟踪关联匹配损失三部分组成。</w:t>
      </w:r>
    </w:p>
    <w:p w14:paraId="78280B29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6.1  总损失函数</w:t>
      </w:r>
    </w:p>
    <w:p w14:paraId="6A551A74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总损失为三模块分支损失加权求和，同步优化检测定位、识别分类、跟踪匹配精度：</w:t>
      </w:r>
    </w:p>
    <w:p w14:paraId="752B1A6D">
      <w:pPr>
        <w:spacing w:before="120" w:after="120" w:line="360" w:lineRule="atLeast"/>
        <w:jc w:val="center"/>
        <w:rPr>
          <w:color w:val="auto"/>
        </w:rPr>
      </w:pP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total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= 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λ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det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+ 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λ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reid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+ 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λ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match</m:t>
            </m:r>
            <m:ctrlPr>
              <w:rPr>
                <w:color w:val="auto"/>
              </w:rPr>
            </m:ctrlPr>
          </m:sub>
        </m:sSub>
      </m:oMath>
      <w:r>
        <w:rPr>
          <w:color w:val="auto"/>
          <w:sz w:val="24"/>
          <w:szCs w:val="24"/>
        </w:rPr>
        <w:t>　　　　</w:t>
      </w:r>
      <w:r>
        <w:rPr>
          <w:rFonts w:ascii="Times New Roman" w:eastAsia="宋体"/>
          <w:color w:val="auto"/>
          <w:sz w:val="22"/>
          <w:szCs w:val="22"/>
        </w:rPr>
        <w:t>(6-1)</w:t>
      </w:r>
    </w:p>
    <w:p w14:paraId="13D9F21A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其中 λ₁ = 0.5、λ₂ = 0.3、λ₃ = 0.2 为原生固定权重。</w:t>
      </w:r>
    </w:p>
    <w:p w14:paraId="4D2C42E4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6.2  检测模块损失</w:t>
      </w:r>
    </w:p>
    <w:p w14:paraId="20E0B9E1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检测损失由分类前置粗判损失与边界框回归损失组成，约束目标定位精度，适配多尺度目标检测：</w:t>
      </w:r>
    </w:p>
    <w:p w14:paraId="584A7CB0">
      <w:pPr>
        <w:spacing w:before="120" w:after="120" w:line="360" w:lineRule="atLeast"/>
        <w:jc w:val="center"/>
        <w:rPr>
          <w:color w:val="auto"/>
        </w:rPr>
      </w:pP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det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= 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cls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+ 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box</m:t>
            </m:r>
            <m:ctrlPr>
              <w:rPr>
                <w:color w:val="auto"/>
              </w:rPr>
            </m:ctrlPr>
          </m:sub>
        </m:sSub>
      </m:oMath>
      <w:r>
        <w:rPr>
          <w:color w:val="auto"/>
          <w:sz w:val="24"/>
          <w:szCs w:val="24"/>
        </w:rPr>
        <w:t>　　　　</w:t>
      </w:r>
      <w:r>
        <w:rPr>
          <w:rFonts w:ascii="Times New Roman" w:eastAsia="宋体"/>
          <w:color w:val="auto"/>
          <w:sz w:val="22"/>
          <w:szCs w:val="22"/>
        </w:rPr>
        <w:t>(6-2)</w:t>
      </w:r>
    </w:p>
    <w:p w14:paraId="798688F3">
      <w:pPr>
        <w:keepNext/>
        <w:spacing w:before="160" w:after="80" w:line="312" w:lineRule="auto"/>
        <w:jc w:val="lef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（1）分类损失 L_cls</w:t>
      </w:r>
    </w:p>
    <w:p w14:paraId="6FE4F7CC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采用交叉熵损失，适配多目标粗分类筛选：</w:t>
      </w:r>
    </w:p>
    <w:p w14:paraId="5597064B">
      <w:pPr>
        <w:spacing w:before="120" w:after="120" w:line="360" w:lineRule="atLeast"/>
        <w:jc w:val="center"/>
        <w:rPr>
          <w:color w:val="auto"/>
        </w:rPr>
      </w:pP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cls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= −</m:t>
        </m:r>
        <m:nary>
          <m:naryPr>
            <m:chr m:val="∑"/>
            <m:limLoc m:val="undOvr"/>
            <m:ctrlPr>
              <w:rPr>
                <w:color w:val="auto"/>
              </w:rPr>
            </m:ctrlPr>
          </m:naryPr>
          <m:sub>
            <m:r>
              <m:rPr/>
              <w:rPr>
                <w:color w:val="auto"/>
              </w:rPr>
              <m:t>i=1</m:t>
            </m:r>
            <m:ctrlPr>
              <w:rPr>
                <w:color w:val="auto"/>
              </w:rPr>
            </m:ctrlPr>
          </m:sub>
          <m:sup>
            <m:r>
              <m:rPr/>
              <w:rPr>
                <w:color w:val="auto"/>
              </w:rPr>
              <m:t>N</m:t>
            </m:r>
            <m:ctrlPr>
              <w:rPr>
                <w:color w:val="auto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color w:val="auto"/>
                  </w:rPr>
                </m:ctrlPr>
              </m:naryPr>
              <m:sub>
                <m:r>
                  <m:rPr/>
                  <w:rPr>
                    <w:color w:val="auto"/>
                  </w:rPr>
                  <m:t>c=1</m:t>
                </m:r>
                <m:ctrlPr>
                  <w:rPr>
                    <w:color w:val="auto"/>
                  </w:rPr>
                </m:ctrlPr>
              </m:sub>
              <m:sup>
                <m:r>
                  <m:rPr/>
                  <w:rPr>
                    <w:color w:val="auto"/>
                  </w:rPr>
                  <m:t>C</m:t>
                </m:r>
                <m:ctrlPr>
                  <w:rPr>
                    <w:color w:val="auto"/>
                  </w:rPr>
                </m:ctrlPr>
              </m:sup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/>
                      <w:rPr>
                        <w:color w:val="auto"/>
                      </w:rPr>
                      <m:t>y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i,c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/>
                  <w:rPr>
                    <w:color w:val="auto"/>
                  </w:rPr>
                  <m:t>·log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/>
                      <w:rPr>
                        <w:color w:val="auto"/>
                      </w:rPr>
                      <m:t>ŷ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i,c</m:t>
                    </m:r>
                    <m:ctrlPr>
                      <w:rPr>
                        <w:color w:val="auto"/>
                      </w:rPr>
                    </m:ctrlPr>
                  </m:sub>
                </m:sSub>
                <m:ctrlPr>
                  <w:rPr>
                    <w:color w:val="auto"/>
                  </w:rPr>
                </m:ctrlPr>
              </m:e>
            </m:nary>
            <m:ctrlPr>
              <w:rPr>
                <w:color w:val="auto"/>
              </w:rPr>
            </m:ctrlPr>
          </m:e>
        </m:nary>
      </m:oMath>
      <w:r>
        <w:rPr>
          <w:color w:val="auto"/>
          <w:sz w:val="24"/>
          <w:szCs w:val="24"/>
        </w:rPr>
        <w:t>　　　　</w:t>
      </w:r>
      <w:r>
        <w:rPr>
          <w:rFonts w:ascii="Times New Roman" w:eastAsia="宋体"/>
          <w:color w:val="auto"/>
          <w:sz w:val="22"/>
          <w:szCs w:val="22"/>
        </w:rPr>
        <w:t>(6-3)</w:t>
      </w:r>
    </w:p>
    <w:p w14:paraId="729A4D6D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其中 N 为单帧检测目标数量，C 为目标总类别数，y_i,c 为第i个目标第c类真实标签，ŷ_i,c 为模型预测类别概率。</w:t>
      </w:r>
    </w:p>
    <w:p w14:paraId="4F089D5C">
      <w:pPr>
        <w:keepNext/>
        <w:spacing w:before="160" w:after="80" w:line="312" w:lineRule="auto"/>
        <w:jc w:val="lef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（2）边界框回归损失 L_box</w:t>
      </w:r>
    </w:p>
    <w:p w14:paraId="3BE62969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采用CIoU损失，适配船舶大尺度跨度、密集排布场景：</w:t>
      </w:r>
    </w:p>
    <w:p w14:paraId="0DD162E4">
      <w:pPr>
        <w:spacing w:before="120" w:after="120" w:line="360" w:lineRule="atLeast"/>
        <w:jc w:val="center"/>
        <w:rPr>
          <w:color w:val="auto"/>
        </w:rPr>
      </w:pP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box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= 1 − IoU + </m:t>
        </m:r>
        <m:f>
          <m:fPr>
            <m:ctrlPr>
              <w:rPr>
                <w:color w:val="auto"/>
              </w:rPr>
            </m:ctrlPr>
          </m:fPr>
          <m:num>
            <m:sSup>
              <m:sSupPr>
                <m:ctrlPr>
                  <w:rPr>
                    <w:color w:val="auto"/>
                  </w:rPr>
                </m:ctrlPr>
              </m:sSupPr>
              <m:e>
                <m:d>
                  <m:dPr>
                    <m:ctrlPr>
                      <w:rPr>
                        <w:color w:val="auto"/>
                      </w:rPr>
                    </m:ctrlPr>
                  </m:dPr>
                  <m:e>
                    <m:r>
                      <m:rPr/>
                      <w:rPr>
                        <w:color w:val="auto"/>
                      </w:rPr>
                      <m:t>ρ</m:t>
                    </m:r>
                    <m:d>
                      <m:dPr>
                        <m:ctrlPr>
                          <w:rPr>
                            <w:color w:val="auto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auto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auto"/>
                              </w:rPr>
                              <m:t>b</m:t>
                            </m:r>
                            <m:ctrlPr>
                              <w:rPr>
                                <w:color w:val="auto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auto"/>
                              </w:rPr>
                              <m:t>gt</m:t>
                            </m:r>
                            <m:ctrlPr>
                              <w:rPr>
                                <w:color w:val="auto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color w:val="auto"/>
                          </w:rPr>
                          <m:t>，</m:t>
                        </m:r>
                        <m:sSub>
                          <m:sSubPr>
                            <m:ctrlPr>
                              <w:rPr>
                                <w:color w:val="auto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auto"/>
                              </w:rPr>
                              <m:t>b</m:t>
                            </m:r>
                            <m:ctrlPr>
                              <w:rPr>
                                <w:color w:val="auto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auto"/>
                              </w:rPr>
                              <m:t>pred</m:t>
                            </m:r>
                            <m:ctrlPr>
                              <w:rPr>
                                <w:color w:val="auto"/>
                              </w:rPr>
                            </m:ctrlPr>
                          </m:sub>
                        </m:sSub>
                        <m:ctrlPr>
                          <w:rPr>
                            <w:color w:val="auto"/>
                          </w:rPr>
                        </m:ctrlPr>
                      </m:e>
                    </m:d>
                    <m:ctrlPr>
                      <w:rPr>
                        <w:color w:val="auto"/>
                      </w:rPr>
                    </m:ctrlPr>
                  </m:e>
                </m:d>
                <m:ctrlPr>
                  <w:rPr>
                    <w:color w:val="auto"/>
                  </w:rPr>
                </m:ctrlPr>
              </m:e>
              <m:sup>
                <m:r>
                  <m:rPr/>
                  <w:rPr>
                    <w:color w:val="auto"/>
                  </w:rPr>
                  <m:t>2</m:t>
                </m:r>
                <m:ctrlPr>
                  <w:rPr>
                    <w:color w:val="auto"/>
                  </w:rPr>
                </m:ctrlPr>
              </m:sup>
            </m:sSup>
            <m:ctrlPr>
              <w:rPr>
                <w:color w:val="auto"/>
              </w:rPr>
            </m:ctrlPr>
          </m:num>
          <m:den>
            <m:sSup>
              <m:sSupPr>
                <m:ctrlPr>
                  <w:rPr>
                    <w:color w:val="auto"/>
                  </w:rPr>
                </m:ctrlPr>
              </m:sSupPr>
              <m:e>
                <m:r>
                  <m:rPr/>
                  <w:rPr>
                    <w:color w:val="auto"/>
                  </w:rPr>
                  <m:t>c</m:t>
                </m:r>
                <m:ctrlPr>
                  <w:rPr>
                    <w:color w:val="auto"/>
                  </w:rPr>
                </m:ctrlPr>
              </m:e>
              <m:sup>
                <m:r>
                  <m:rPr/>
                  <w:rPr>
                    <w:color w:val="auto"/>
                  </w:rPr>
                  <m:t>2</m:t>
                </m:r>
                <m:ctrlPr>
                  <w:rPr>
                    <w:color w:val="auto"/>
                  </w:rPr>
                </m:ctrlPr>
              </m:sup>
            </m:sSup>
            <m:ctrlPr>
              <w:rPr>
                <w:color w:val="auto"/>
              </w:rPr>
            </m:ctrlPr>
          </m:den>
        </m:f>
        <m:r>
          <m:rPr/>
          <w:rPr>
            <w:color w:val="auto"/>
          </w:rPr>
          <m:t xml:space="preserve"> + αv</m:t>
        </m:r>
      </m:oMath>
      <w:r>
        <w:rPr>
          <w:color w:val="auto"/>
          <w:sz w:val="24"/>
          <w:szCs w:val="24"/>
        </w:rPr>
        <w:t>　　　　</w:t>
      </w:r>
      <w:r>
        <w:rPr>
          <w:rFonts w:ascii="Times New Roman" w:eastAsia="宋体"/>
          <w:color w:val="auto"/>
          <w:sz w:val="22"/>
          <w:szCs w:val="22"/>
        </w:rPr>
        <w:t>(6-4)</w:t>
      </w:r>
    </w:p>
    <w:p w14:paraId="4DB319BB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其中 IoU 为真实框与预测框交并比，ρ²(b_gt, b_pred) 为框中心欧式距离平方，c 为外接矩形对角线距离，α、v 为尺度平衡系数（原生默认固定值）。</w:t>
      </w:r>
    </w:p>
    <w:p w14:paraId="7CF02CA6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6.3  识别模块损失</w:t>
      </w:r>
    </w:p>
    <w:p w14:paraId="2C028A81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采用三元组损失优化目标外观特征，保证同类目标特征聚合、异类目标特征分离，支撑精细识别与身份区分：</w:t>
      </w:r>
    </w:p>
    <w:p w14:paraId="6E058A88">
      <w:pPr>
        <w:spacing w:before="120" w:after="120" w:line="360" w:lineRule="atLeast"/>
        <w:jc w:val="center"/>
        <w:rPr>
          <w:color w:val="auto"/>
        </w:rPr>
      </w:pP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reid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= max</m:t>
        </m:r>
        <m:d>
          <m:dPr>
            <m:ctrlPr>
              <w:rPr>
                <w:color w:val="auto"/>
              </w:rPr>
            </m:ctrlPr>
          </m:dPr>
          <m:e>
            <m:r>
              <m:rPr/>
              <w:rPr>
                <w:color w:val="auto"/>
              </w:rPr>
              <m:t>d</m:t>
            </m:r>
            <m:d>
              <m:dPr>
                <m:ctrlPr>
                  <w:rPr>
                    <w:color w:val="auto"/>
                  </w:rPr>
                </m:ctrlPr>
              </m:dPr>
              <m:e>
                <m:r>
                  <m:rPr/>
                  <w:rPr>
                    <w:color w:val="auto"/>
                  </w:rPr>
                  <m:t>a，p</m:t>
                </m:r>
                <m:ctrlPr>
                  <w:rPr>
                    <w:color w:val="auto"/>
                  </w:rPr>
                </m:ctrlPr>
              </m:e>
            </m:d>
            <m:r>
              <m:rPr/>
              <w:rPr>
                <w:color w:val="auto"/>
              </w:rPr>
              <m:t xml:space="preserve"> − d</m:t>
            </m:r>
            <m:d>
              <m:dPr>
                <m:ctrlPr>
                  <w:rPr>
                    <w:color w:val="auto"/>
                  </w:rPr>
                </m:ctrlPr>
              </m:dPr>
              <m:e>
                <m:r>
                  <m:rPr/>
                  <w:rPr>
                    <w:color w:val="auto"/>
                  </w:rPr>
                  <m:t>a，n</m:t>
                </m:r>
                <m:ctrlPr>
                  <w:rPr>
                    <w:color w:val="auto"/>
                  </w:rPr>
                </m:ctrlPr>
              </m:e>
            </m:d>
            <m:r>
              <m:rPr/>
              <w:rPr>
                <w:color w:val="auto"/>
              </w:rPr>
              <m:t xml:space="preserve"> + margin，0</m:t>
            </m:r>
            <m:ctrlPr>
              <w:rPr>
                <w:color w:val="auto"/>
              </w:rPr>
            </m:ctrlPr>
          </m:e>
        </m:d>
      </m:oMath>
      <w:r>
        <w:rPr>
          <w:color w:val="auto"/>
          <w:sz w:val="24"/>
          <w:szCs w:val="24"/>
        </w:rPr>
        <w:t>　　　　</w:t>
      </w:r>
      <w:r>
        <w:rPr>
          <w:rFonts w:ascii="Times New Roman" w:eastAsia="宋体"/>
          <w:color w:val="auto"/>
          <w:sz w:val="22"/>
          <w:szCs w:val="22"/>
        </w:rPr>
        <w:t>(6-5)</w:t>
      </w:r>
    </w:p>
    <w:p w14:paraId="3E25D03E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其中 a 为锚点特征（当前目标），p 为正样本特征（同类同轨迹目标），n 为负样本特征（异类干扰目标），d(·) 为欧式距离，margin = 0.3 为原生固定间隔阈值。</w:t>
      </w:r>
    </w:p>
    <w:p w14:paraId="321098F7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6.4  跟踪模块损失</w:t>
      </w:r>
    </w:p>
    <w:p w14:paraId="7548754C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基于CAFF自适应融合特征计算匹配损失，约束跨帧目标关联精度，优化轨迹稳定性：</w:t>
      </w:r>
    </w:p>
    <w:p w14:paraId="433E08D7">
      <w:pPr>
        <w:spacing w:before="120" w:after="120" w:line="360" w:lineRule="atLeast"/>
        <w:jc w:val="center"/>
        <w:rPr>
          <w:color w:val="auto"/>
        </w:rPr>
      </w:pP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L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match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= 1 − 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S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fusion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>，　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S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fusion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= ω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S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app</m:t>
            </m:r>
            <m:ctrlPr>
              <w:rPr>
                <w:color w:val="auto"/>
              </w:rPr>
            </m:ctrlPr>
          </m:sub>
        </m:sSub>
        <m:r>
          <m:rPr/>
          <w:rPr>
            <w:color w:val="auto"/>
          </w:rPr>
          <m:t xml:space="preserve"> + </m:t>
        </m:r>
        <m:d>
          <m:dPr>
            <m:ctrlPr>
              <w:rPr>
                <w:color w:val="auto"/>
              </w:rPr>
            </m:ctrlPr>
          </m:dPr>
          <m:e>
            <m:r>
              <m:rPr/>
              <w:rPr>
                <w:color w:val="auto"/>
              </w:rPr>
              <m:t>1 − ω</m:t>
            </m:r>
            <m:ctrlPr>
              <w:rPr>
                <w:color w:val="auto"/>
              </w:rPr>
            </m:ctrlPr>
          </m:e>
        </m:d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S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mot</m:t>
            </m:r>
            <m:ctrlPr>
              <w:rPr>
                <w:color w:val="auto"/>
              </w:rPr>
            </m:ctrlPr>
          </m:sub>
        </m:sSub>
      </m:oMath>
      <w:r>
        <w:rPr>
          <w:color w:val="auto"/>
          <w:sz w:val="24"/>
          <w:szCs w:val="24"/>
        </w:rPr>
        <w:t>　　　　</w:t>
      </w:r>
      <w:r>
        <w:rPr>
          <w:rFonts w:ascii="Times New Roman" w:eastAsia="宋体"/>
          <w:color w:val="auto"/>
          <w:sz w:val="22"/>
          <w:szCs w:val="22"/>
        </w:rPr>
        <w:t>(6-6)</w:t>
      </w:r>
    </w:p>
    <w:p w14:paraId="3A1BFE38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其中 S_fusion 为融合相似度，S_app 为识别模块输出的Re-ID外观特征相似度，S_mot 为跟踪模块卡尔曼运动特征相似度，ω 为自适应权重，由目标检测置信度动态生成。</w:t>
      </w:r>
    </w:p>
    <w:p w14:paraId="6CC22C41">
      <w:pPr>
        <w:pStyle w:val="3"/>
        <w:spacing w:before="280" w:after="160" w:line="350" w:lineRule="atLeast"/>
        <w:rPr>
          <w:color w:val="auto"/>
        </w:rPr>
      </w:pPr>
      <w:bookmarkStart w:id="7" w:name="_Toc32164"/>
      <w:r>
        <w:rPr>
          <w:rFonts w:ascii="Times New Roman" w:eastAsia="黑体"/>
          <w:b/>
          <w:bCs/>
          <w:color w:val="auto"/>
          <w:sz w:val="28"/>
          <w:szCs w:val="28"/>
        </w:rPr>
        <w:t>7  数据集与多类别目标适配</w:t>
      </w:r>
      <w:bookmarkEnd w:id="7"/>
    </w:p>
    <w:p w14:paraId="7A22A227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7.1  ShipsMOT数据集属性</w:t>
      </w:r>
    </w:p>
    <w:p w14:paraId="49E95945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训练与评测采用ShipsMOT数据集，数据类型为海面实景RGB视频/图像，采集自港口、近海、海岸监控实景，包含光照变化、阴雨、遮挡、目标密集、尺度差异、视角变化等复杂场景，数据集全开源可直接调用，完全适配检测、识别、跟踪全流程任务。以下为典型难点场景示例。</w:t>
      </w:r>
    </w:p>
    <w:p w14:paraId="7DB79BD3">
      <w:pPr>
        <w:keepNext/>
        <w:spacing w:before="160" w:after="6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572000" cy="12192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4990">
      <w:pPr>
        <w:spacing w:after="16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图7-1  背景变化场景</w:t>
      </w:r>
    </w:p>
    <w:p w14:paraId="7BFE64BB">
      <w:pPr>
        <w:keepNext/>
        <w:spacing w:before="160" w:after="6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572000" cy="11334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3665">
      <w:pPr>
        <w:spacing w:after="16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图7-2  遮挡场景</w:t>
      </w:r>
    </w:p>
    <w:p w14:paraId="692F06C3">
      <w:pPr>
        <w:keepNext/>
        <w:spacing w:before="160" w:after="6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572000" cy="10763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1605">
      <w:pPr>
        <w:spacing w:after="16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图7-3  同目标不同视角</w:t>
      </w:r>
    </w:p>
    <w:p w14:paraId="7D926146">
      <w:pPr>
        <w:pStyle w:val="4"/>
        <w:spacing w:before="220" w:after="120" w:line="330" w:lineRule="atLeast"/>
        <w:rPr>
          <w:color w:val="auto"/>
        </w:rPr>
      </w:pPr>
      <w:r>
        <w:rPr>
          <w:rFonts w:ascii="Times New Roman" w:eastAsia="黑体"/>
          <w:b/>
          <w:bCs/>
          <w:color w:val="auto"/>
          <w:sz w:val="24"/>
          <w:szCs w:val="24"/>
        </w:rPr>
        <w:t>7.2  全类别目标适配能力</w:t>
      </w:r>
    </w:p>
    <w:p w14:paraId="25AEE1C5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依托检测、识别、跟踪模块化架构，可适配需求目标类别，类别体系如图7-4所示。</w:t>
      </w:r>
    </w:p>
    <w:p w14:paraId="5BE74D21">
      <w:pPr>
        <w:keepNext/>
        <w:spacing w:before="160" w:after="6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428750" cy="2705100"/>
            <wp:effectExtent l="0" t="0" r="381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6F60">
      <w:pPr>
        <w:spacing w:after="16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图7-4  支持的目标分类类别</w:t>
      </w:r>
    </w:p>
    <w:p w14:paraId="27EA33AA">
      <w:pPr>
        <w:keepNext/>
        <w:spacing w:before="160" w:after="80"/>
        <w:jc w:val="center"/>
        <w:rPr>
          <w:color w:val="auto"/>
        </w:rPr>
      </w:pPr>
      <w:r>
        <w:rPr>
          <w:rFonts w:ascii="Times New Roman" w:eastAsia="黑体"/>
          <w:b/>
          <w:bCs/>
          <w:color w:val="auto"/>
          <w:sz w:val="21"/>
          <w:szCs w:val="21"/>
        </w:rPr>
        <w:t>表7-1  全类别目标适配能力</w:t>
      </w:r>
    </w:p>
    <w:tbl>
      <w:tblPr>
        <w:tblStyle w:val="15"/>
        <w:tblW w:w="5000" w:type="pct"/>
        <w:tblInd w:w="0" w:type="dxa"/>
        <w:tblBorders>
          <w:top w:val="single" w:color="1B6B7A" w:sz="8" w:space="0"/>
          <w:left w:val="none" w:color="FFFFFF" w:sz="0" w:space="0"/>
          <w:bottom w:val="single" w:color="1B6B7A" w:sz="8" w:space="0"/>
          <w:right w:val="none" w:color="FFFFFF" w:sz="0" w:space="0"/>
          <w:insideH w:val="single" w:color="C8DDE2" w:sz="4" w:space="0"/>
          <w:insideV w:val="single" w:color="C8DDE2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4042"/>
        <w:gridCol w:w="3340"/>
      </w:tblGrid>
      <w:tr w14:paraId="15D2B0E6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D820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目标大类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9161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覆盖类别</w:t>
            </w:r>
          </w:p>
        </w:tc>
        <w:tc>
          <w:tcPr>
            <w:tcW w:w="1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6F3C2">
            <w:pPr>
              <w:spacing w:line="280" w:lineRule="auto"/>
              <w:jc w:val="center"/>
              <w:rPr>
                <w:color w:val="auto"/>
              </w:rPr>
            </w:pPr>
            <w:r>
              <w:rPr>
                <w:rFonts w:ascii="Times New Roman" w:eastAsia="黑体"/>
                <w:b/>
                <w:bCs/>
                <w:color w:val="auto"/>
                <w:sz w:val="21"/>
                <w:szCs w:val="21"/>
              </w:rPr>
              <w:t>适配能力</w:t>
            </w:r>
          </w:p>
        </w:tc>
      </w:tr>
      <w:tr w14:paraId="5C26C19F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0C455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人员目标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D9E2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海面作业人员、岸边人员</w:t>
            </w:r>
          </w:p>
        </w:tc>
        <w:tc>
          <w:tcPr>
            <w:tcW w:w="1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23C4E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定位、识别、轨迹跟踪</w:t>
            </w:r>
          </w:p>
        </w:tc>
      </w:tr>
      <w:tr w14:paraId="5C5888C2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92834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车辆目标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DC986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民用私家车、运输汽车，军用装甲车、特种作战车辆</w:t>
            </w:r>
          </w:p>
        </w:tc>
        <w:tc>
          <w:tcPr>
            <w:tcW w:w="1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066CC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定位、军民属性细分识别、轨迹跟踪</w:t>
            </w:r>
          </w:p>
        </w:tc>
      </w:tr>
      <w:tr w14:paraId="577374F4">
        <w:tblPrEx>
          <w:tblBorders>
            <w:top w:val="single" w:color="1B6B7A" w:sz="8" w:space="0"/>
            <w:left w:val="none" w:color="FFFFFF" w:sz="0" w:space="0"/>
            <w:bottom w:val="single" w:color="1B6B7A" w:sz="8" w:space="0"/>
            <w:right w:val="none" w:color="FFFFFF" w:sz="0" w:space="0"/>
            <w:insideH w:val="single" w:color="C8DDE2" w:sz="4" w:space="0"/>
            <w:insideV w:val="single" w:color="C8DDE2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468F8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船艇目标</w:t>
            </w:r>
          </w:p>
        </w:tc>
        <w:tc>
          <w:tcPr>
            <w:tcW w:w="23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F188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军舰、武装巡逻艇、民用客船、商用运输船、捕鱼船、挖沙船等</w:t>
            </w:r>
          </w:p>
        </w:tc>
        <w:tc>
          <w:tcPr>
            <w:tcW w:w="1900" w:type="pct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EC27E">
            <w:pPr>
              <w:spacing w:line="280" w:lineRule="auto"/>
              <w:jc w:val="left"/>
              <w:rPr>
                <w:color w:val="auto"/>
              </w:rPr>
            </w:pPr>
            <w:r>
              <w:rPr>
                <w:rFonts w:ascii="Times New Roman" w:eastAsia="宋体"/>
                <w:color w:val="auto"/>
                <w:sz w:val="21"/>
                <w:szCs w:val="21"/>
              </w:rPr>
              <w:t>定位、细分识别、长时稳定轨迹跟踪</w:t>
            </w:r>
          </w:p>
        </w:tc>
      </w:tr>
    </w:tbl>
    <w:p w14:paraId="359CEBCD">
      <w:pPr>
        <w:spacing w:after="80"/>
        <w:rPr>
          <w:color w:val="auto"/>
        </w:rPr>
      </w:pPr>
    </w:p>
    <w:p w14:paraId="31F8830A">
      <w:pPr>
        <w:spacing w:after="80" w:line="312" w:lineRule="auto"/>
        <w:ind w:firstLine="480"/>
        <w:jc w:val="both"/>
        <w:rPr>
          <w:color w:val="auto"/>
        </w:rPr>
      </w:pPr>
      <w:r>
        <w:rPr>
          <w:rFonts w:ascii="Times New Roman" w:eastAsia="宋体"/>
          <w:color w:val="auto"/>
          <w:sz w:val="24"/>
          <w:szCs w:val="24"/>
        </w:rPr>
        <w:t>图像航迹输出的细粒度类别</w:t>
      </w:r>
      <w:r>
        <w:rPr>
          <w:rFonts w:hint="eastAsia"/>
          <w:color w:val="auto"/>
          <w:sz w:val="24"/>
          <w:szCs w:val="24"/>
          <w:lang w:eastAsia="zh-CN"/>
        </w:rPr>
        <w:t>，</w:t>
      </w:r>
      <w:r>
        <w:rPr>
          <w:rFonts w:ascii="Times New Roman" w:eastAsia="宋体"/>
          <w:color w:val="auto"/>
          <w:sz w:val="24"/>
          <w:szCs w:val="24"/>
        </w:rPr>
        <w:t>如军舰</w:t>
      </w:r>
      <w:r>
        <w:rPr>
          <w:rFonts w:hint="eastAsia"/>
          <w:color w:val="auto"/>
          <w:sz w:val="24"/>
          <w:szCs w:val="24"/>
          <w:lang w:eastAsia="zh-CN"/>
        </w:rPr>
        <w:t>、</w:t>
      </w:r>
      <w:r>
        <w:rPr>
          <w:rFonts w:ascii="Times New Roman" w:eastAsia="宋体"/>
          <w:color w:val="auto"/>
          <w:sz w:val="24"/>
          <w:szCs w:val="24"/>
        </w:rPr>
        <w:t>渔船</w:t>
      </w:r>
      <w:r>
        <w:rPr>
          <w:rFonts w:hint="eastAsia"/>
          <w:color w:val="auto"/>
          <w:sz w:val="24"/>
          <w:szCs w:val="24"/>
          <w:lang w:eastAsia="zh-CN"/>
        </w:rPr>
        <w:t>、</w:t>
      </w:r>
      <w:r>
        <w:rPr>
          <w:rFonts w:ascii="Times New Roman" w:eastAsia="宋体"/>
          <w:color w:val="auto"/>
          <w:sz w:val="24"/>
          <w:szCs w:val="24"/>
        </w:rPr>
        <w:t>客船</w:t>
      </w:r>
      <w:r>
        <w:rPr>
          <w:rFonts w:hint="eastAsia"/>
          <w:color w:val="auto"/>
          <w:sz w:val="24"/>
          <w:szCs w:val="24"/>
          <w:lang w:eastAsia="zh-CN"/>
        </w:rPr>
        <w:t>，</w:t>
      </w:r>
      <w:r>
        <w:rPr>
          <w:rFonts w:ascii="Times New Roman" w:eastAsia="宋体"/>
          <w:color w:val="auto"/>
          <w:sz w:val="24"/>
          <w:szCs w:val="24"/>
        </w:rPr>
        <w:t>可直接写入第一部分全局目标的类型与身份属性，显著提升后续行为研判中目标类型</w:t>
      </w:r>
      <w:r>
        <w:rPr>
          <w:rFonts w:hint="eastAsia"/>
          <w:color w:val="auto"/>
          <w:sz w:val="24"/>
          <w:szCs w:val="24"/>
          <w:lang w:eastAsia="zh-CN"/>
        </w:rPr>
        <w:t>和</w:t>
      </w:r>
      <w:r>
        <w:rPr>
          <w:rFonts w:ascii="Times New Roman" w:eastAsia="宋体"/>
          <w:color w:val="auto"/>
          <w:sz w:val="24"/>
          <w:szCs w:val="24"/>
        </w:rPr>
        <w:t>行为模式匹配的准确性。</w:t>
      </w:r>
    </w:p>
    <w:p w14:paraId="4C4D744A">
      <w:pPr>
        <w:spacing w:after="80" w:line="312" w:lineRule="auto"/>
        <w:ind w:firstLine="480"/>
        <w:jc w:val="both"/>
        <w:rPr>
          <w:color w:val="auto"/>
        </w:rPr>
      </w:pPr>
    </w:p>
    <w:sectPr>
      <w:headerReference r:id="rId5" w:type="default"/>
      <w:footerReference r:id="rId6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大桁" w:date="2026-10-12T09:53:39Z" w:initials="">
    <w:p w14:paraId="2FBCB97A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具体代码只服务于shipsmot数据集中的15种船舶类别的识别，并没有扩展到人员、车辆、船艇的细粒度识别</w:t>
      </w:r>
    </w:p>
  </w:comment>
  <w:comment w:id="1" w:author="大桁" w:date="2026-10-12T10:03:20Z" w:initials="">
    <w:p w14:paraId="75742947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代码数据配置中只有15种船艇类别和ULtalytics通用的图像分类代码，具体的多类别、细粒度分类代码还需自己编写</w:t>
      </w:r>
    </w:p>
  </w:comment>
  <w:comment w:id="2" w:author="大桁" w:date="2026-10-12T10:11:37Z" w:initials="">
    <w:p w14:paraId="06D4EA89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JDR-YOLO有通用的视频解码和图像预处理的能力，但是该代码使用固定盘符路径，需要统一相对路径</w:t>
      </w:r>
      <w:r>
        <w:drawing>
          <wp:inline distT="0" distB="0" distL="114300" distR="114300">
            <wp:extent cx="5577840" cy="172148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3" w:author="大桁" w:date="2026-10-12T10:28:50Z" w:initials="">
    <w:p w14:paraId="3F81FB78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具体代码输出只有目标坐标边界框、置信度、类别，并没有ReID外观特征</w:t>
      </w:r>
    </w:p>
  </w:comment>
  <w:comment w:id="4" w:author="大桁" w:date="2026-10-12T10:42:49Z" w:initials="">
    <w:p w14:paraId="7B4F7E6B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现有YOLO检测器直接给出目标坐标框和类别并没有检测框的裁剪</w:t>
      </w:r>
    </w:p>
  </w:comment>
  <w:comment w:id="5" w:author="大桁" w:date="2026-10-12T10:48:44Z" w:initials="">
    <w:p w14:paraId="54D259C8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论文中描述JDR-YOLO为检测框提取reid特征，但是具体代码中没有取得reid特征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FBCB97A" w15:done="0"/>
  <w15:commentEx w15:paraId="75742947" w15:done="0"/>
  <w15:commentEx w15:paraId="06D4EA89" w15:done="0"/>
  <w15:commentEx w15:paraId="3F81FB78" w15:done="0"/>
  <w15:commentEx w15:paraId="7B4F7E6B" w15:done="0"/>
  <w15:commentEx w15:paraId="54D259C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5265D">
    <w:pPr>
      <w:jc w:val="center"/>
    </w:pPr>
    <w:r>
      <w:rPr>
        <w:rFonts w:ascii="Times New Roman"/>
        <w:color w:val="444444"/>
        <w:sz w:val="18"/>
        <w:szCs w:val="18"/>
      </w:rPr>
      <w:fldChar w:fldCharType="begin"/>
    </w:r>
    <w:r>
      <w:rPr>
        <w:rFonts w:ascii="Times New Roman"/>
        <w:color w:val="444444"/>
        <w:sz w:val="18"/>
        <w:szCs w:val="18"/>
      </w:rPr>
      <w:instrText xml:space="preserve"> PAGE \* arabic \* MERGEFORMAT </w:instrText>
    </w:r>
    <w:r>
      <w:rPr>
        <w:rFonts w:ascii="Times New Roman"/>
        <w:color w:val="444444"/>
        <w:sz w:val="18"/>
        <w:szCs w:val="18"/>
      </w:rPr>
      <w:fldChar w:fldCharType="separate"/>
    </w:r>
    <w:r>
      <w:rPr>
        <w:rFonts w:ascii="Times New Roman"/>
        <w:color w:val="444444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55661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大桁">
    <w15:presenceInfo w15:providerId="WPS Office" w15:userId="24234363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245594"/>
    <w:rsid w:val="003E4039"/>
    <w:rsid w:val="01E40437"/>
    <w:rsid w:val="0273010D"/>
    <w:rsid w:val="04216813"/>
    <w:rsid w:val="04722D41"/>
    <w:rsid w:val="05894663"/>
    <w:rsid w:val="072365A6"/>
    <w:rsid w:val="081D2FF5"/>
    <w:rsid w:val="0A2F0DBE"/>
    <w:rsid w:val="0C060244"/>
    <w:rsid w:val="0C9413AC"/>
    <w:rsid w:val="0CB840DA"/>
    <w:rsid w:val="10500C74"/>
    <w:rsid w:val="10DD5537"/>
    <w:rsid w:val="1340228E"/>
    <w:rsid w:val="16113A6D"/>
    <w:rsid w:val="162B4B2F"/>
    <w:rsid w:val="17233A58"/>
    <w:rsid w:val="175D158B"/>
    <w:rsid w:val="183B3024"/>
    <w:rsid w:val="18E216F1"/>
    <w:rsid w:val="195A572B"/>
    <w:rsid w:val="19D612D3"/>
    <w:rsid w:val="1AE654C9"/>
    <w:rsid w:val="1E700E57"/>
    <w:rsid w:val="22543660"/>
    <w:rsid w:val="2463702D"/>
    <w:rsid w:val="25F136F5"/>
    <w:rsid w:val="27C937EA"/>
    <w:rsid w:val="297939AC"/>
    <w:rsid w:val="2AB54063"/>
    <w:rsid w:val="2E424CB4"/>
    <w:rsid w:val="2F6F7D2B"/>
    <w:rsid w:val="2FF124EE"/>
    <w:rsid w:val="303548B7"/>
    <w:rsid w:val="30C65115"/>
    <w:rsid w:val="31EA18EB"/>
    <w:rsid w:val="33E5680D"/>
    <w:rsid w:val="35DA3A24"/>
    <w:rsid w:val="36877708"/>
    <w:rsid w:val="384A30E3"/>
    <w:rsid w:val="3A396F6B"/>
    <w:rsid w:val="3A4F5F3E"/>
    <w:rsid w:val="3D197528"/>
    <w:rsid w:val="3E38578C"/>
    <w:rsid w:val="3EC51715"/>
    <w:rsid w:val="3F7D78FA"/>
    <w:rsid w:val="401F30A7"/>
    <w:rsid w:val="407C22A8"/>
    <w:rsid w:val="415723CD"/>
    <w:rsid w:val="419E1DAA"/>
    <w:rsid w:val="41B94E35"/>
    <w:rsid w:val="41F8770C"/>
    <w:rsid w:val="43CF26EE"/>
    <w:rsid w:val="451A5BEB"/>
    <w:rsid w:val="48684EBF"/>
    <w:rsid w:val="48BD096B"/>
    <w:rsid w:val="49975A5C"/>
    <w:rsid w:val="49F41101"/>
    <w:rsid w:val="4DAB1C82"/>
    <w:rsid w:val="50C7131D"/>
    <w:rsid w:val="51694182"/>
    <w:rsid w:val="522B768A"/>
    <w:rsid w:val="54D04518"/>
    <w:rsid w:val="55CC1183"/>
    <w:rsid w:val="584119B5"/>
    <w:rsid w:val="58935F89"/>
    <w:rsid w:val="59513E7A"/>
    <w:rsid w:val="5A355549"/>
    <w:rsid w:val="5A7A2F5C"/>
    <w:rsid w:val="5AF26F96"/>
    <w:rsid w:val="5B8F39A1"/>
    <w:rsid w:val="5BD963A8"/>
    <w:rsid w:val="5BF705DC"/>
    <w:rsid w:val="5C58107B"/>
    <w:rsid w:val="5CDD77D2"/>
    <w:rsid w:val="5D4F1299"/>
    <w:rsid w:val="5EB826D2"/>
    <w:rsid w:val="605E50CE"/>
    <w:rsid w:val="60D64C64"/>
    <w:rsid w:val="61AE798F"/>
    <w:rsid w:val="63367EC3"/>
    <w:rsid w:val="63EF7D33"/>
    <w:rsid w:val="68A5554E"/>
    <w:rsid w:val="690A5DF3"/>
    <w:rsid w:val="6BAD26B6"/>
    <w:rsid w:val="6D371181"/>
    <w:rsid w:val="6DAC56CB"/>
    <w:rsid w:val="6DC26C9C"/>
    <w:rsid w:val="6E3A456E"/>
    <w:rsid w:val="70710506"/>
    <w:rsid w:val="70FA499F"/>
    <w:rsid w:val="711E068D"/>
    <w:rsid w:val="71DA56EB"/>
    <w:rsid w:val="71E116BB"/>
    <w:rsid w:val="7249798C"/>
    <w:rsid w:val="72EE0533"/>
    <w:rsid w:val="746F7452"/>
    <w:rsid w:val="76F105F2"/>
    <w:rsid w:val="78A551F0"/>
    <w:rsid w:val="79D62A71"/>
    <w:rsid w:val="7A3D71EE"/>
    <w:rsid w:val="7A440A39"/>
    <w:rsid w:val="7D5D42EC"/>
    <w:rsid w:val="7DAB14FB"/>
    <w:rsid w:val="7E34420C"/>
    <w:rsid w:val="7E7220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eastAsia="宋体" w:hAnsiTheme="minorHAnsi" w:cstheme="minorBidi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1F4D78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toc 3"/>
    <w:basedOn w:val="1"/>
    <w:qFormat/>
    <w:uiPriority w:val="39"/>
    <w:pPr>
      <w:tabs>
        <w:tab w:val="right" w:leader="dot" w:pos="9026"/>
      </w:tabs>
      <w:spacing w:before="40" w:after="20"/>
      <w:ind w:left="720"/>
    </w:pPr>
  </w:style>
  <w:style w:type="paragraph" w:styleId="10">
    <w:name w:val="endnote text"/>
    <w:basedOn w:val="1"/>
    <w:link w:val="2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toc 1"/>
    <w:basedOn w:val="1"/>
    <w:qFormat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12">
    <w:name w:val="foot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toc 2"/>
    <w:basedOn w:val="1"/>
    <w:qFormat/>
    <w:uiPriority w:val="39"/>
    <w:pPr>
      <w:tabs>
        <w:tab w:val="right" w:leader="dot" w:pos="9026"/>
      </w:tabs>
      <w:spacing w:before="60" w:after="40"/>
      <w:ind w:left="360"/>
    </w:pPr>
  </w:style>
  <w:style w:type="paragraph" w:styleId="14">
    <w:name w:val="Title"/>
    <w:basedOn w:val="1"/>
    <w:next w:val="1"/>
    <w:qFormat/>
    <w:uiPriority w:val="0"/>
    <w:rPr>
      <w:sz w:val="56"/>
      <w:szCs w:val="56"/>
    </w:rPr>
  </w:style>
  <w:style w:type="character" w:styleId="17">
    <w:name w:val="endnote reference"/>
    <w:semiHidden/>
    <w:unhideWhenUsed/>
    <w:qFormat/>
    <w:uiPriority w:val="99"/>
    <w:rPr>
      <w:vertAlign w:val="superscript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basedOn w:val="1"/>
    <w:qFormat/>
    <w:uiPriority w:val="0"/>
  </w:style>
  <w:style w:type="character" w:customStyle="1" w:styleId="21">
    <w:name w:val="Footnote Text Char"/>
    <w:link w:val="12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0"/>
    <w:semiHidden/>
    <w:unhideWhenUsed/>
    <w:qFormat/>
    <w:uiPriority w:val="99"/>
    <w:rPr>
      <w:sz w:val="20"/>
      <w:szCs w:val="20"/>
    </w:rPr>
  </w:style>
</w:style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1182</Words>
  <Characters>1296</Characters>
  <TotalTime>80</TotalTime>
  <ScaleCrop>false</ScaleCrop>
  <LinksUpToDate>false</LinksUpToDate>
  <CharactersWithSpaces>1327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2026-09-28T15:51:00Z</dcterms:created>
  <dc:creator>Un-named</dc:creator>
  <cp:lastModifiedBy>大桁</cp:lastModifiedBy>
  <dcterms:modified xsi:type="dcterms:W3CDTF">2026-10-13T03:33:03Z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eyJoZGlkIjoiOGI1NWI0ZjRhNDQ0ZDNkNzY5MzlkMDhjYjIyNDc5OGQiLCJ1c2VySWQiOiI0ODExODkwMDAifQ==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A2B6E5CF00C6449EA7FECFEB1473FAC0_13</vt:lpwstr>
  </property>
</Properties>
</file>