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衍射光栅研究</w:t>
      </w:r>
    </w:p>
    <w:p>
      <w:pPr>
        <w:ind w:firstLine="241" w:firstLineChars="10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姓名：许洋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32"/>
          <w:lang w:val="en-US" w:eastAsia="zh-CN"/>
        </w:rPr>
        <w:t>学号：2313721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学院：计算机学院</w:t>
      </w:r>
    </w:p>
    <w:p>
      <w:pPr>
        <w:ind w:firstLine="241" w:firstLineChars="100"/>
        <w:jc w:val="center"/>
      </w:pPr>
      <w:r>
        <w:rPr>
          <w:rFonts w:hint="eastAsia"/>
          <w:b/>
          <w:bCs/>
          <w:sz w:val="24"/>
          <w:szCs w:val="32"/>
          <w:lang w:val="en-US" w:eastAsia="zh-CN"/>
        </w:rPr>
        <w:t>实验时间：2024年4月5日星期五下午    组别：I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实验目的：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1.了解光栅的分光特性</w:t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</w:rPr>
        <w:t>2.测量光栅常量</w:t>
      </w:r>
    </w:p>
    <w:p>
      <w:pPr>
        <w:rPr>
          <w:rFonts w:hint="eastAsia"/>
        </w:rPr>
      </w:pPr>
      <w:r>
        <w:rPr>
          <w:rFonts w:hint="eastAsia"/>
        </w:rPr>
        <w:t>二、实验原理：（文字简述实验原理、原理公式、光路图）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二元光栅是平行等宽、等间距的多狭缝，它的分光原理如图4-4-1所示。狭缝S处于透镜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的焦平面上，并认为它是无限细的；G是衍射光栅，它有N个宽度为a的狭缝，相邻狭缝间不透明部分的宽度为b。如果自透镜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出射的平行光垂直照射在光栅上，透镜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将与光栅法线成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hint="eastAsia"/>
          <w:lang w:val="en-US" w:eastAsia="zh-CN"/>
        </w:rPr>
        <w:t>角的光会聚在焦平面上的P点。光栅在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hint="eastAsia"/>
          <w:lang w:val="en-US" w:eastAsia="zh-CN"/>
        </w:rPr>
        <w:t>方向上有主干涉极大的条件为</w:t>
      </w:r>
    </w:p>
    <w:p>
      <w:pPr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(a+b)</m:t>
          </m:r>
          <m:func>
            <m:func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=k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λ</m:t>
          </m:r>
        </m:oMath>
      </m:oMathPara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279650"/>
            <wp:effectExtent l="0" t="0" r="12065" b="6350"/>
            <wp:docPr id="6" name="图片 6" descr="微信图片_2021041616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4161647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这就是垂直入射条件下的光栅方程，式中，k为光谱的级次、λ是波长、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hint="eastAsia"/>
          <w:lang w:val="en-US" w:eastAsia="zh-CN"/>
        </w:rPr>
        <w:t>是衍射角、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(a+b)</m:t>
        </m:r>
      </m:oMath>
      <w:r>
        <w:rPr>
          <w:rFonts w:hint="eastAsia"/>
          <w:lang w:val="en-US" w:eastAsia="zh-CN"/>
        </w:rPr>
        <w:t>是光栅常量。光栅常量通常用d表示，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d=a+b</m:t>
        </m:r>
      </m:oMath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当入射光不是垂直照射在光栅上，而是与光栅的法线成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>
        <w:rPr>
          <w:rFonts w:hint="eastAsia"/>
          <w:lang w:val="en-US" w:eastAsia="zh-CN"/>
        </w:rPr>
        <w:t>角时，光栅方程变为</w:t>
      </w:r>
    </w:p>
    <w:p>
      <w:pPr>
        <w:ind w:firstLine="420" w:firstLineChars="200"/>
        <w:rPr>
          <w:rFonts w:hint="eastAsia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d(</m:t>
          </m:r>
          <m:func>
            <m:func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φ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±</m:t>
          </m:r>
          <m:func>
            <m:func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=kλ</m:t>
          </m:r>
        </m:oMath>
      </m:oMathPara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式中“+”代表入射光和衍射光在法线同侧，“-”代表在法线两侧。光栅的衍射角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hint="eastAsia"/>
          <w:lang w:val="en-US" w:eastAsia="zh-CN"/>
        </w:rPr>
        <w:t>仍定义为与光栅表面法线的夹角。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在复色光以相同的入射角照射到光栅，不同波长的光对应有不同的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hint="eastAsia"/>
          <w:lang w:val="en-US" w:eastAsia="zh-CN"/>
        </w:rPr>
        <w:t>角，也就是说在经过光栅后，不同波长的光在空间角方向上被分开了，并按一定的顺序排列。这就是光栅的分光原理。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实验使用的低压汞灯，波长见表。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782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波长/nm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579.1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577.0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546.1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491.6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435.8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407.8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颜色</w:t>
            </w:r>
          </w:p>
        </w:tc>
        <w:tc>
          <w:tcPr>
            <w:tcW w:w="1847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深绿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相对强度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</w:t>
            </w:r>
          </w:p>
        </w:tc>
      </w:tr>
    </w:tbl>
    <w:p>
      <w:r>
        <w:rPr>
          <w:rFonts w:hint="eastAsia"/>
        </w:rPr>
        <w:t>三、实验仪器用具：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分光仪、平面透射光栅、平面反射镜、低压汞灯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实验步骤或内容：(文字简要说明)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调节分光仪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目测粗调。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利用自准法将望远镜调焦于无限远。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用各半调节法使望远镜的光轴与仪器的转轴垂直。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调节平行光管使之出射平行光，并且其光轴和仪器转轴垂直。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调节光栅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由于在实验中将用垂直入射的光栅方程式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(a+b)</m:t>
        </m:r>
        <m:func>
          <m:func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sin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=k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λ</m:t>
        </m:r>
      </m:oMath>
      <w:r>
        <w:rPr>
          <w:rFonts w:hint="eastAsia"/>
          <w:lang w:val="en-US" w:eastAsia="zh-CN"/>
        </w:rPr>
        <w:t>作为测量公式，因此放置在载物台上的光栅必须满足下列条件：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(1)平行光垂直照射在光栅表面。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(2)光栅的刻痕垂直于刻度盘平面，即与仪器转轴平行。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(3)狭缝与光栅刻痕平行。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将光栅按图4-4-2所示的方式放置在载物台上。</w:t>
      </w:r>
      <w:r>
        <w:rPr>
          <w:rFonts w:hint="eastAsia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484505</wp:posOffset>
            </wp:positionV>
            <wp:extent cx="1958975" cy="1950720"/>
            <wp:effectExtent l="0" t="0" r="9525" b="5080"/>
            <wp:wrapSquare wrapText="bothSides"/>
            <wp:docPr id="1" name="图片 1" descr="扫描全能王 2021-04-21 17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1-04-21 17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光栅平面与</w:t>
      </w:r>
      <m:oMath>
        <m:sSub>
          <m:sSubPr>
            <m:ctrlPr>
              <w:rPr>
                <w:rFonts w:hint="eastAsia" w:asci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V</m:t>
            </m:r>
            <m:ctrlPr>
              <w:rPr>
                <w:rFonts w:hint="eastAsia" w:asci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1</m:t>
            </m:r>
            <m:ctrlPr>
              <w:rPr>
                <w:rFonts w:hint="eastAsia" w:ascii="Cambria Math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、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V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的连线垂直。用汞灯照亮狭缝，使望远镜的叉丝对准狭缝像。这样望远镜的光轴与平行光管的光轴共线。将游标盘与载物台锁定在一起，转动载物台，找到平面光栅反射回来的叉丝像，调节</w:t>
      </w:r>
      <m:oMath>
        <m:sSub>
          <m:sSubPr>
            <m:ctrlPr>
              <w:rPr>
                <w:rFonts w:hint="eastAsia" w:asci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V</m:t>
            </m:r>
            <m:ctrlPr>
              <w:rPr>
                <w:rFonts w:hint="eastAsia" w:asci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1</m:t>
            </m:r>
            <m:ctrlPr>
              <w:rPr>
                <w:rFonts w:hint="eastAsia" w:ascii="Cambria Math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、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V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使叉丝像与叉丝重合，随即锁住游标盘，并保持</w:t>
      </w:r>
      <m:oMath>
        <m:sSub>
          <m:sSubPr>
            <m:ctrlPr>
              <w:rPr>
                <w:rFonts w:hint="eastAsia" w:asci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V</m:t>
            </m:r>
            <m:ctrlPr>
              <w:rPr>
                <w:rFonts w:hint="eastAsia" w:asci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1</m:t>
            </m:r>
            <m:ctrlPr>
              <w:rPr>
                <w:rFonts w:hint="eastAsia" w:ascii="Cambria Math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、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V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不动。这时就达到光栅与入射的平行光垂直的要求。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转动望远镜观察位于零级谱两侧的一级或二级谱线，调节</w:t>
      </w:r>
      <m:oMath>
        <m:sSub>
          <m:sSubPr>
            <m:ctrlPr>
              <w:rPr>
                <w:rFonts w:hint="eastAsia" w:asci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V</m:t>
            </m:r>
            <m:ctrlPr>
              <w:rPr>
                <w:rFonts w:hint="eastAsia" w:asci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2</m:t>
            </m:r>
            <m:ctrlPr>
              <w:rPr>
                <w:rFonts w:hint="eastAsia" w:ascii="Cambria Math"/>
                <w:i w:val="0"/>
                <w:lang w:val="en-US" w:eastAsia="zh-CN"/>
              </w:rPr>
            </m:ctrlPr>
          </m:sub>
        </m:sSub>
      </m:oMath>
      <w:r>
        <w:rPr>
          <w:rFonts w:hint="eastAsia"/>
          <w:lang w:val="en-US" w:eastAsia="zh-CN"/>
        </w:rPr>
        <w:t>和稍微旋转狭缝，使两侧的谱线均与叉丝的中心横线垂直，并上下对称。这时光栅的刻痕就与仪器转轴平行，同时狭缝也与刻痕平行。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了上述调节后，表面上达到了测量所需的所有要求，但有一个因素没有考虑在内，这就是光栅。实验中所用的透射光栅是做在一个全息干板上，全息干板基片玻璃的两个表面不可能完全平行，这时无论利用哪一个面来调节，都无法让平行光真正与光栅表面垂直，利用垂直照明的光栅方程测量显然是不合适的。如果基片玻璃两个表面之间的夹角不知道，同时也无法利用光栅方程式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d(</m:t>
        </m:r>
        <m:func>
          <m:func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sin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±</m:t>
        </m:r>
        <m:func>
          <m:func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sin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=kλ</m:t>
        </m:r>
      </m:oMath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从式子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d(</m:t>
        </m:r>
        <m:func>
          <m:func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sin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±</m:t>
        </m:r>
        <m:func>
          <m:func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sin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=kλ</m:t>
        </m:r>
      </m:oMath>
      <w:r>
        <w:rPr>
          <w:rFonts w:hint="eastAsia"/>
          <w:lang w:val="en-US" w:eastAsia="zh-CN"/>
        </w:rPr>
        <w:t>中可以知道，在斜入射的情况下，光栅法线两侧的同一级光谱的衍射角分别为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09140" cy="974725"/>
            <wp:effectExtent l="0" t="0" r="10160" b="3175"/>
            <wp:docPr id="2" name="图片 2" descr="扫描全能王 2021-04-21 17.39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1-04-21 17.39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两式相减，并考虑到</w:t>
      </w:r>
      <m:oMath>
        <m:d>
          <m:dPr>
            <m:begChr m:val="|"/>
            <m:endChr m:val="|"/>
            <m:ctrlPr>
              <w:rPr>
                <w:rFonts w:hint="eastAsia" w:ascii="Cambria Math" w:hAnsi="Cambria Math"/>
                <w:lang w:val="en-US" w:eastAsia="zh-CN"/>
              </w:rPr>
            </m:ctrlPr>
          </m:dPr>
          <m:e>
            <m:sSub>
              <m:sSubP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θ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+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−</m:t>
            </m:r>
            <m:sSub>
              <m:sSubP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θ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−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 w:eastAsia="zh-CN"/>
          </w:rPr>
          <m:t>=φ</m:t>
        </m:r>
      </m:oMath>
      <w:r>
        <w:rPr>
          <w:rFonts w:hint="eastAsia"/>
          <w:lang w:val="en-US" w:eastAsia="zh-CN"/>
        </w:rPr>
        <w:t>有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7590" cy="542925"/>
            <wp:effectExtent l="0" t="0" r="3810" b="3175"/>
            <wp:docPr id="7" name="图片 7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6490" cy="880745"/>
            <wp:effectExtent l="0" t="0" r="3810" b="8255"/>
            <wp:docPr id="4" name="图片 4" descr="扫描全能王 2021-04-21 17.39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1-04-21 17.39_4"/>
                    <pic:cNvPicPr>
                      <a:picLocks noChangeAspect="1"/>
                    </pic:cNvPicPr>
                  </pic:nvPicPr>
                  <pic:blipFill>
                    <a:blip r:embed="rId8"/>
                    <a:srcRect l="11453" t="12169" r="8014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所以在实验中，只要测量对应正负极光谱之间的夹角，就可以减小这一因素对测量结果的影响。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利用汞绿线测定光栅常量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测量汞光谱中绿线λ=546.1nm的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±1、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±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2</m:t>
        </m:r>
      </m:oMath>
      <w:r>
        <w:rPr>
          <w:rFonts w:hint="eastAsia"/>
          <w:lang w:val="en-US" w:eastAsia="zh-CN"/>
        </w:rPr>
        <w:t>级光谱之间的夹角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2</m:t>
        </m:r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θ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和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2</m:t>
        </m:r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θ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  <w:lang w:val="en-US" w:eastAsia="zh-CN"/>
        </w:rPr>
        <w:t>，利用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76680" cy="450850"/>
            <wp:effectExtent l="0" t="0" r="0" b="0"/>
            <wp:docPr id="8" name="图片 8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2"/>
                    <pic:cNvPicPr>
                      <a:picLocks noChangeAspect="1"/>
                    </pic:cNvPicPr>
                  </pic:nvPicPr>
                  <pic:blipFill>
                    <a:blip r:embed="rId7"/>
                    <a:srcRect l="13759" r="26582" b="16959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求出两个光栅常量，并取它们的平均值作为测量结果。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4、测定汞光谱中两条黄线的波长，计算角色散。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五、实验数据记录及处理：</w:t>
      </w:r>
    </w:p>
    <w:tbl>
      <w:tblPr>
        <w:tblStyle w:val="9"/>
        <w:tblW w:w="937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808"/>
        <w:gridCol w:w="808"/>
        <w:gridCol w:w="1169"/>
        <w:gridCol w:w="1169"/>
        <w:gridCol w:w="1062"/>
        <w:gridCol w:w="1194"/>
        <w:gridCol w:w="1104"/>
        <w:gridCol w:w="12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0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波长/nm</w:t>
            </w:r>
          </w:p>
        </w:tc>
        <w:tc>
          <w:tcPr>
            <w:tcW w:w="80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级数</w:t>
            </w:r>
          </w:p>
        </w:tc>
        <w:tc>
          <w:tcPr>
            <w:tcW w:w="3146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衍射角位置</w:t>
            </w:r>
          </w:p>
        </w:tc>
        <w:tc>
          <w:tcPr>
            <w:tcW w:w="106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角度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oMath>
            <w:r>
              <w:rPr>
                <w:rFonts w:hint="eastAsia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oMath>
          </w:p>
        </w:tc>
        <w:tc>
          <w:tcPr>
            <w:tcW w:w="119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无偏心差角度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oMath>
            <w:r>
              <w:rPr>
                <w:rFonts w:hint="eastAsia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oMath>
          </w:p>
        </w:tc>
        <w:tc>
          <w:tcPr>
            <w:tcW w:w="11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衍射角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25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光栅常数d /nm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游标号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+k级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-k级</w:t>
            </w:r>
          </w:p>
        </w:tc>
        <w:tc>
          <w:tcPr>
            <w:tcW w:w="10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546.1</w:t>
            </w:r>
          </w:p>
        </w:tc>
        <w:tc>
          <w:tcPr>
            <w:tcW w:w="80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105.5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86.5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18°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9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18°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9°2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25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3337.8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0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285.5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266.5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18°50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0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114°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74.5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°25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38.5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°4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9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38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°1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2.5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19°6.25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25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3337.14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0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294°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256.5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°25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36.5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°40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m:rPr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m:rPr/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=kλ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</m:t>
          </m:r>
          <m:func>
            <m:func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φ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=1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546.1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÷</m:t>
          </m:r>
          <m:func>
            <m:funcPr>
              <m:ctrlP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（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4"/>
                  <w:lang w:val="en-US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25')=3337.8nm</m:t>
              </m:r>
              <m:ctrlP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</m:oMath>
      </m:oMathPara>
    </w:p>
    <w:p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m:rPr/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=kλ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</m:t>
          </m:r>
          <m:func>
            <m:func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φ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=2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546.1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÷</m:t>
          </m:r>
          <m:func>
            <m:funcPr>
              <m:ctrl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（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4"/>
                  <w:lang w:val="en-US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6.25')=3337.14nm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</m:oMath>
      </m:oMathPara>
    </w:p>
    <w:p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所以</w:t>
      </w:r>
    </w:p>
    <w:p>
      <w:pPr>
        <m:rPr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d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=(</m:t>
          </m:r>
          <m:sSub>
            <m:sSubP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)/2=3337.47nm</m:t>
          </m:r>
        </m:oMath>
      </m:oMathPara>
    </w:p>
    <w:p>
      <w:pPr>
        <m:rPr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</w:p>
    <w:tbl>
      <w:tblPr>
        <w:tblStyle w:val="9"/>
        <w:tblW w:w="937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808"/>
        <w:gridCol w:w="808"/>
        <w:gridCol w:w="1169"/>
        <w:gridCol w:w="1169"/>
        <w:gridCol w:w="1062"/>
        <w:gridCol w:w="1194"/>
        <w:gridCol w:w="1104"/>
        <w:gridCol w:w="12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0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汞黄线</w:t>
            </w:r>
          </w:p>
        </w:tc>
        <w:tc>
          <w:tcPr>
            <w:tcW w:w="80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级数</w:t>
            </w:r>
          </w:p>
        </w:tc>
        <w:tc>
          <w:tcPr>
            <w:tcW w:w="3146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衍射角位置</w:t>
            </w:r>
          </w:p>
        </w:tc>
        <w:tc>
          <w:tcPr>
            <w:tcW w:w="106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角度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oMath>
            <w:r>
              <w:rPr>
                <w:rFonts w:hint="eastAsia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oMath>
          </w:p>
        </w:tc>
        <w:tc>
          <w:tcPr>
            <w:tcW w:w="119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无偏心差角度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oMath>
            <w:r>
              <w:rPr>
                <w:rFonts w:hint="eastAsia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oMath>
          </w:p>
        </w:tc>
        <w:tc>
          <w:tcPr>
            <w:tcW w:w="11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衍射角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25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波长/ nm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游标号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+k级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-k级</w:t>
            </w:r>
          </w:p>
        </w:tc>
        <w:tc>
          <w:tcPr>
            <w:tcW w:w="10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黄1</w:t>
            </w:r>
          </w:p>
        </w:tc>
        <w:tc>
          <w:tcPr>
            <w:tcW w:w="80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135.5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°20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95.5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40°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9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40°3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20°17.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25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578.7</m:t>
                </m:r>
              </m:oMath>
            </m:oMathPara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0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315.5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°15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274.5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41°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0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黄2</w:t>
            </w:r>
          </w:p>
        </w:tc>
        <w:tc>
          <w:tcPr>
            <w:tcW w:w="80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135°25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94.5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°10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40.5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9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40.5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20°22.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25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580.9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0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315°20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274.5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40.5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lang w:val="en-US" w:eastAsia="zh-CN" w:bidi="ar-SA"/>
                  </w:rPr>
                  <m:t>°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15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’</m:t>
                </m:r>
              </m:oMath>
            </m:oMathPara>
          </w:p>
        </w:tc>
        <w:tc>
          <w:tcPr>
            <w:tcW w:w="11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m:rPr/>
        <w:rPr>
          <w:rFonts w:hint="default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λ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=d</m:t>
          </m:r>
          <m:func>
            <m:func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φ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/k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3337.47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×</m:t>
          </m:r>
          <m:func>
            <m:funcPr>
              <m:ctrlPr>
                <m:rPr/>
                <w:rPr>
                  <w:rFonts w:hint="default" w:ascii="Cambria Math" w:hAnsi="Cambria Math" w:cs="Cambria Math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(20°17.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÷2=578.7nm</m:t>
          </m:r>
        </m:oMath>
      </m:oMathPara>
    </w:p>
    <w:p>
      <w:pPr>
        <m:rPr/>
        <w:rPr>
          <w:rFonts w:hint="default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λ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=d</m:t>
          </m:r>
          <m:func>
            <m:func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φ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/k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3337.47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×</m:t>
          </m:r>
          <m:func>
            <m:funcPr>
              <m:ctrlPr>
                <w:rPr>
                  <w:rFonts w:hint="default" w:ascii="Cambria Math" w:hAnsi="Cambria Math" w:cs="Cambria Math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(20°22.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÷2=580.9nm</m:t>
          </m:r>
        </m:oMath>
      </m:oMathPara>
    </w:p>
    <w:p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汞光谱中两条黄线波长的定值误差：</w:t>
      </w:r>
    </w:p>
    <w:p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定值误差（黄1）=|λ测-λ真|/λ真=(|578.7-577.0|/577.0)×100%=0.29%</w:t>
      </w:r>
    </w:p>
    <w:p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定值误差（黄2）=|λ测-λ真|/λ真=(|580.9-579.1|/579.1)×100%=0.31%</w:t>
      </w:r>
    </w:p>
    <w:p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角色散：</w:t>
      </w:r>
    </w:p>
    <w:p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D =|φ黄1-φ黄2|/2.1</w:t>
      </w:r>
    </w:p>
    <w:p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=| [(20°17.5</w:t>
      </w:r>
      <w: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-20°22.5</w:t>
      </w:r>
      <w: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)/60]×(2π/360) |  /  2.1</w:t>
      </w:r>
    </w:p>
    <w:p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=0.00069rad/nm</w:t>
      </w:r>
    </w:p>
    <w:p>
      <w:pPr>
        <w:numPr>
          <w:numId w:val="0"/>
        </w:numPr>
        <w:ind w:leftChars="0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六、实验结果及讨论</w:t>
      </w:r>
    </w:p>
    <w:p>
      <w:pPr>
        <w:numPr>
          <w:numId w:val="0"/>
        </w:numPr>
        <w:ind w:leftChars="0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学习了如何测量光栅常数，并进行其他光的波长计算</w:t>
      </w:r>
    </w:p>
    <w:p>
      <w:pPr>
        <w:numPr>
          <w:ilvl w:val="0"/>
          <w:numId w:val="0"/>
        </w:numPr>
        <w:ind w:leftChars="0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在实验中存在误差：读数误差（偶然误差）和仪器存在误差（系统误差）</w:t>
      </w:r>
    </w:p>
    <w:p>
      <w:pPr>
        <w:numPr>
          <w:ilvl w:val="0"/>
          <w:numId w:val="0"/>
        </w:numPr>
        <w:ind w:leftChars="0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需要准确调节分光仪才能进行精确的测量</w:t>
      </w:r>
    </w:p>
    <w:p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FB1344"/>
    <w:multiLevelType w:val="singleLevel"/>
    <w:tmpl w:val="C3FB134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AA104D"/>
    <w:multiLevelType w:val="singleLevel"/>
    <w:tmpl w:val="0CAA10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ljYzUzMWQ4OWI0YzBkYjYzMDRhZTY5ZjZkYmFmYTgifQ=="/>
  </w:docVars>
  <w:rsids>
    <w:rsidRoot w:val="005E5AAD"/>
    <w:rsid w:val="000059DD"/>
    <w:rsid w:val="00025D0A"/>
    <w:rsid w:val="00027288"/>
    <w:rsid w:val="000419CD"/>
    <w:rsid w:val="00053785"/>
    <w:rsid w:val="00055BB0"/>
    <w:rsid w:val="00062855"/>
    <w:rsid w:val="00077E23"/>
    <w:rsid w:val="00077F38"/>
    <w:rsid w:val="00082806"/>
    <w:rsid w:val="00083464"/>
    <w:rsid w:val="00087C0B"/>
    <w:rsid w:val="000D60BA"/>
    <w:rsid w:val="000F6541"/>
    <w:rsid w:val="000F6B35"/>
    <w:rsid w:val="00103DC5"/>
    <w:rsid w:val="001231DD"/>
    <w:rsid w:val="00124EC9"/>
    <w:rsid w:val="00146C54"/>
    <w:rsid w:val="00154026"/>
    <w:rsid w:val="001656F3"/>
    <w:rsid w:val="0017057C"/>
    <w:rsid w:val="00172820"/>
    <w:rsid w:val="00176AB9"/>
    <w:rsid w:val="001827CD"/>
    <w:rsid w:val="001833EB"/>
    <w:rsid w:val="0019558F"/>
    <w:rsid w:val="001B417E"/>
    <w:rsid w:val="001B4625"/>
    <w:rsid w:val="001C76E2"/>
    <w:rsid w:val="001D415C"/>
    <w:rsid w:val="001D49E0"/>
    <w:rsid w:val="001D7265"/>
    <w:rsid w:val="001E2DF8"/>
    <w:rsid w:val="001F58E9"/>
    <w:rsid w:val="00210BA0"/>
    <w:rsid w:val="00211E65"/>
    <w:rsid w:val="002122CE"/>
    <w:rsid w:val="002135C4"/>
    <w:rsid w:val="00213C0F"/>
    <w:rsid w:val="002365FF"/>
    <w:rsid w:val="00243A97"/>
    <w:rsid w:val="002447CA"/>
    <w:rsid w:val="002475F6"/>
    <w:rsid w:val="002501B4"/>
    <w:rsid w:val="00254B26"/>
    <w:rsid w:val="0026651C"/>
    <w:rsid w:val="00266D5B"/>
    <w:rsid w:val="00275228"/>
    <w:rsid w:val="00282737"/>
    <w:rsid w:val="00291D38"/>
    <w:rsid w:val="002A63CA"/>
    <w:rsid w:val="002B5032"/>
    <w:rsid w:val="002C0FAA"/>
    <w:rsid w:val="002D0232"/>
    <w:rsid w:val="00304611"/>
    <w:rsid w:val="003423FE"/>
    <w:rsid w:val="003425A9"/>
    <w:rsid w:val="00352A79"/>
    <w:rsid w:val="0037226F"/>
    <w:rsid w:val="00375D26"/>
    <w:rsid w:val="0039365C"/>
    <w:rsid w:val="003B2C66"/>
    <w:rsid w:val="003D41F3"/>
    <w:rsid w:val="003E269F"/>
    <w:rsid w:val="00403A74"/>
    <w:rsid w:val="00416040"/>
    <w:rsid w:val="0042308E"/>
    <w:rsid w:val="0043736F"/>
    <w:rsid w:val="00440E24"/>
    <w:rsid w:val="0047012D"/>
    <w:rsid w:val="004C36C3"/>
    <w:rsid w:val="004C577F"/>
    <w:rsid w:val="004F3793"/>
    <w:rsid w:val="00500943"/>
    <w:rsid w:val="0050583E"/>
    <w:rsid w:val="00511FCD"/>
    <w:rsid w:val="00516009"/>
    <w:rsid w:val="005179BB"/>
    <w:rsid w:val="00534FF6"/>
    <w:rsid w:val="00547A6A"/>
    <w:rsid w:val="0055068F"/>
    <w:rsid w:val="00553D83"/>
    <w:rsid w:val="00565CE6"/>
    <w:rsid w:val="00570172"/>
    <w:rsid w:val="0058450A"/>
    <w:rsid w:val="005A2E24"/>
    <w:rsid w:val="005C182F"/>
    <w:rsid w:val="005D1FB6"/>
    <w:rsid w:val="005D67DC"/>
    <w:rsid w:val="005E3AFE"/>
    <w:rsid w:val="005E4EDE"/>
    <w:rsid w:val="005E5AAD"/>
    <w:rsid w:val="0060511D"/>
    <w:rsid w:val="006116AC"/>
    <w:rsid w:val="00613E04"/>
    <w:rsid w:val="00624DB1"/>
    <w:rsid w:val="00640CE4"/>
    <w:rsid w:val="00642161"/>
    <w:rsid w:val="00685FF6"/>
    <w:rsid w:val="00686B92"/>
    <w:rsid w:val="006B1AAE"/>
    <w:rsid w:val="006D3707"/>
    <w:rsid w:val="006E0845"/>
    <w:rsid w:val="006E4078"/>
    <w:rsid w:val="0072088C"/>
    <w:rsid w:val="0072627D"/>
    <w:rsid w:val="00743FC8"/>
    <w:rsid w:val="00760A22"/>
    <w:rsid w:val="00776112"/>
    <w:rsid w:val="007826DF"/>
    <w:rsid w:val="00785794"/>
    <w:rsid w:val="00790935"/>
    <w:rsid w:val="007963F8"/>
    <w:rsid w:val="007B0071"/>
    <w:rsid w:val="007B210B"/>
    <w:rsid w:val="007B65D3"/>
    <w:rsid w:val="007C0669"/>
    <w:rsid w:val="007C127F"/>
    <w:rsid w:val="007D0D09"/>
    <w:rsid w:val="007E37B8"/>
    <w:rsid w:val="00811429"/>
    <w:rsid w:val="008119DB"/>
    <w:rsid w:val="00824D4E"/>
    <w:rsid w:val="00826BDD"/>
    <w:rsid w:val="0084175F"/>
    <w:rsid w:val="00843146"/>
    <w:rsid w:val="00852677"/>
    <w:rsid w:val="00866846"/>
    <w:rsid w:val="00873D75"/>
    <w:rsid w:val="00875531"/>
    <w:rsid w:val="008A1F05"/>
    <w:rsid w:val="008A24E5"/>
    <w:rsid w:val="008A44D8"/>
    <w:rsid w:val="008A4B9E"/>
    <w:rsid w:val="008C4611"/>
    <w:rsid w:val="008D79C9"/>
    <w:rsid w:val="008E3135"/>
    <w:rsid w:val="008E63B8"/>
    <w:rsid w:val="008F104E"/>
    <w:rsid w:val="00907E9E"/>
    <w:rsid w:val="00911A23"/>
    <w:rsid w:val="00912657"/>
    <w:rsid w:val="009167D5"/>
    <w:rsid w:val="009403F2"/>
    <w:rsid w:val="00943947"/>
    <w:rsid w:val="00943ABE"/>
    <w:rsid w:val="00951909"/>
    <w:rsid w:val="00952151"/>
    <w:rsid w:val="009555B3"/>
    <w:rsid w:val="00955B8A"/>
    <w:rsid w:val="009646F0"/>
    <w:rsid w:val="00965884"/>
    <w:rsid w:val="00970ACA"/>
    <w:rsid w:val="009715CC"/>
    <w:rsid w:val="00972B63"/>
    <w:rsid w:val="00980C45"/>
    <w:rsid w:val="009969BE"/>
    <w:rsid w:val="009A6BC9"/>
    <w:rsid w:val="009C5344"/>
    <w:rsid w:val="009D4E2A"/>
    <w:rsid w:val="009D547B"/>
    <w:rsid w:val="009E73B6"/>
    <w:rsid w:val="009F78E7"/>
    <w:rsid w:val="00A04DFC"/>
    <w:rsid w:val="00A076F5"/>
    <w:rsid w:val="00A22833"/>
    <w:rsid w:val="00A275B7"/>
    <w:rsid w:val="00A3767A"/>
    <w:rsid w:val="00A40D2C"/>
    <w:rsid w:val="00A55BE6"/>
    <w:rsid w:val="00A62F02"/>
    <w:rsid w:val="00A67B02"/>
    <w:rsid w:val="00AB3F9B"/>
    <w:rsid w:val="00AC43DD"/>
    <w:rsid w:val="00AE7E0F"/>
    <w:rsid w:val="00B01468"/>
    <w:rsid w:val="00B108AA"/>
    <w:rsid w:val="00B1467C"/>
    <w:rsid w:val="00B24258"/>
    <w:rsid w:val="00B26BBC"/>
    <w:rsid w:val="00B46E34"/>
    <w:rsid w:val="00B504A1"/>
    <w:rsid w:val="00B50E9E"/>
    <w:rsid w:val="00B65073"/>
    <w:rsid w:val="00B664DA"/>
    <w:rsid w:val="00BC3DE2"/>
    <w:rsid w:val="00BF0B2C"/>
    <w:rsid w:val="00BF128E"/>
    <w:rsid w:val="00BF39AA"/>
    <w:rsid w:val="00BF4BC1"/>
    <w:rsid w:val="00BF6464"/>
    <w:rsid w:val="00C02D44"/>
    <w:rsid w:val="00C20F4F"/>
    <w:rsid w:val="00C841B8"/>
    <w:rsid w:val="00C954B1"/>
    <w:rsid w:val="00CA0483"/>
    <w:rsid w:val="00CA0588"/>
    <w:rsid w:val="00CB3AB5"/>
    <w:rsid w:val="00CB5FC7"/>
    <w:rsid w:val="00CE26CB"/>
    <w:rsid w:val="00CE7674"/>
    <w:rsid w:val="00CF07BC"/>
    <w:rsid w:val="00CF6C3A"/>
    <w:rsid w:val="00D014D8"/>
    <w:rsid w:val="00D0424B"/>
    <w:rsid w:val="00D21B75"/>
    <w:rsid w:val="00D2230F"/>
    <w:rsid w:val="00D276A2"/>
    <w:rsid w:val="00D61BE9"/>
    <w:rsid w:val="00D7072D"/>
    <w:rsid w:val="00D80C17"/>
    <w:rsid w:val="00D971EA"/>
    <w:rsid w:val="00D974BF"/>
    <w:rsid w:val="00DA5B61"/>
    <w:rsid w:val="00DF2F37"/>
    <w:rsid w:val="00E001E1"/>
    <w:rsid w:val="00E014EC"/>
    <w:rsid w:val="00E03641"/>
    <w:rsid w:val="00E231BA"/>
    <w:rsid w:val="00E33AE7"/>
    <w:rsid w:val="00E34A0A"/>
    <w:rsid w:val="00E41CEC"/>
    <w:rsid w:val="00E55581"/>
    <w:rsid w:val="00E82D59"/>
    <w:rsid w:val="00ED131B"/>
    <w:rsid w:val="00ED1B88"/>
    <w:rsid w:val="00EF3DD0"/>
    <w:rsid w:val="00F0600F"/>
    <w:rsid w:val="00F313D0"/>
    <w:rsid w:val="00F33769"/>
    <w:rsid w:val="00F33B27"/>
    <w:rsid w:val="00F51A27"/>
    <w:rsid w:val="00F5739D"/>
    <w:rsid w:val="00F71AB3"/>
    <w:rsid w:val="00F761A3"/>
    <w:rsid w:val="00F8286C"/>
    <w:rsid w:val="00F91B9B"/>
    <w:rsid w:val="00F945F7"/>
    <w:rsid w:val="00FA0B4C"/>
    <w:rsid w:val="00FC0226"/>
    <w:rsid w:val="00FC4451"/>
    <w:rsid w:val="00FD50CF"/>
    <w:rsid w:val="00FE3B25"/>
    <w:rsid w:val="00FE5CA0"/>
    <w:rsid w:val="00FF4387"/>
    <w:rsid w:val="0311425B"/>
    <w:rsid w:val="08B03266"/>
    <w:rsid w:val="0B9F26FA"/>
    <w:rsid w:val="0F6B2780"/>
    <w:rsid w:val="143A631F"/>
    <w:rsid w:val="29AA5CD7"/>
    <w:rsid w:val="392D1185"/>
    <w:rsid w:val="740D23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line="360" w:lineRule="auto"/>
      <w:outlineLvl w:val="3"/>
    </w:pPr>
    <w:rPr>
      <w:rFonts w:eastAsia="仿宋" w:asciiTheme="majorHAnsi" w:hAnsiTheme="majorHAnsi" w:cstheme="majorBidi"/>
      <w:b/>
      <w:bCs/>
      <w:sz w:val="24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autoRedefine/>
    <w:uiPriority w:val="0"/>
    <w:rPr>
      <w:sz w:val="18"/>
      <w:szCs w:val="18"/>
    </w:rPr>
  </w:style>
  <w:style w:type="paragraph" w:styleId="6">
    <w:name w:val="footer"/>
    <w:basedOn w:val="1"/>
    <w:link w:val="15"/>
    <w:autoRedefine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page number"/>
    <w:basedOn w:val="10"/>
    <w:semiHidden/>
    <w:unhideWhenUsed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3">
    <w:name w:val="批注框文本 Char"/>
    <w:basedOn w:val="10"/>
    <w:link w:val="5"/>
    <w:autoRedefine/>
    <w:qFormat/>
    <w:uiPriority w:val="0"/>
    <w:rPr>
      <w:kern w:val="2"/>
      <w:sz w:val="18"/>
      <w:szCs w:val="18"/>
    </w:rPr>
  </w:style>
  <w:style w:type="character" w:customStyle="1" w:styleId="14">
    <w:name w:val="页眉 Char"/>
    <w:basedOn w:val="10"/>
    <w:link w:val="7"/>
    <w:uiPriority w:val="0"/>
    <w:rPr>
      <w:kern w:val="2"/>
      <w:sz w:val="18"/>
      <w:szCs w:val="18"/>
    </w:rPr>
  </w:style>
  <w:style w:type="character" w:customStyle="1" w:styleId="15">
    <w:name w:val="页脚 Char"/>
    <w:basedOn w:val="10"/>
    <w:link w:val="6"/>
    <w:uiPriority w:val="0"/>
    <w:rPr>
      <w:kern w:val="2"/>
      <w:sz w:val="18"/>
      <w:szCs w:val="18"/>
    </w:rPr>
  </w:style>
  <w:style w:type="character" w:styleId="16">
    <w:name w:val="Placeholder Text"/>
    <w:basedOn w:val="10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263</Characters>
  <Lines>2</Lines>
  <Paragraphs>1</Paragraphs>
  <TotalTime>1</TotalTime>
  <ScaleCrop>false</ScaleCrop>
  <LinksUpToDate>false</LinksUpToDate>
  <CharactersWithSpaces>308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2022-01-14T06:07:00Z</dcterms:created>
  <dc:creator>Administrator</dc:creator>
  <cp:lastModifiedBy>༺ཌༀཉི许༒洋༃ༀད༻</cp:lastModifiedBy>
  <cp:lastPrinted>2022-01-14T06:07:00Z</cp:lastPrinted>
  <dcterms:modified xsi:type="dcterms:W3CDTF">2024-04-11T15:30:36Z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8225160E101343DEA21DB099B56B90D7</vt:lpwstr>
  </property>
</Properties>
</file>