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olors1.xml" ContentType="application/vnd.ms-office.chartcolorstyle+xml"/>
  <Override PartName="/word/charts/style1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迈克尔逊干涉仪</w:t>
      </w:r>
    </w:p>
    <w:p>
      <w:pPr>
        <w:ind w:firstLine="241" w:firstLineChars="100"/>
        <w:jc w:val="center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姓名：许洋</w:t>
      </w:r>
      <w:r>
        <w:rPr>
          <w:rFonts w:hint="eastAsia"/>
          <w:sz w:val="24"/>
          <w:szCs w:val="32"/>
          <w:lang w:val="en-US" w:eastAsia="zh-CN"/>
        </w:rPr>
        <w:t xml:space="preserve">   </w:t>
      </w:r>
      <w:r>
        <w:rPr>
          <w:rFonts w:hint="eastAsia"/>
          <w:b/>
          <w:bCs/>
          <w:sz w:val="24"/>
          <w:szCs w:val="32"/>
          <w:lang w:val="en-US" w:eastAsia="zh-CN"/>
        </w:rPr>
        <w:t>学号：2313721</w:t>
      </w:r>
      <w:r>
        <w:rPr>
          <w:rFonts w:hint="eastAsia"/>
          <w:sz w:val="24"/>
          <w:szCs w:val="32"/>
          <w:lang w:val="en-US" w:eastAsia="zh-CN"/>
        </w:rPr>
        <w:t xml:space="preserve">     </w:t>
      </w:r>
      <w:r>
        <w:rPr>
          <w:rFonts w:hint="eastAsia"/>
          <w:b/>
          <w:bCs/>
          <w:sz w:val="24"/>
          <w:szCs w:val="32"/>
          <w:lang w:val="en-US" w:eastAsia="zh-CN"/>
        </w:rPr>
        <w:t>学院：计算机学院</w:t>
      </w:r>
    </w:p>
    <w:p>
      <w:pPr>
        <w:ind w:firstLine="241" w:firstLineChars="100"/>
        <w:jc w:val="center"/>
      </w:pPr>
      <w:r>
        <w:rPr>
          <w:rFonts w:hint="eastAsia"/>
          <w:b/>
          <w:bCs/>
          <w:sz w:val="24"/>
          <w:szCs w:val="32"/>
          <w:lang w:val="en-US" w:eastAsia="zh-CN"/>
        </w:rPr>
        <w:t>实验时间：2024年4月12日星期五下午    组别：I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实验目的：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1、了解迈克耳孙干涉仪的结构原理并掌握调节方法。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2、观察等厚干涉、等倾干涉以及白光干涉。</w:t>
      </w:r>
    </w:p>
    <w:p>
      <w:pPr>
        <w:rPr>
          <w:rFonts w:hint="eastAsia"/>
        </w:rPr>
      </w:pPr>
      <w:r>
        <w:rPr>
          <w:rFonts w:hint="eastAsia"/>
        </w:rPr>
        <w:t>二、实验原理：</w:t>
      </w:r>
    </w:p>
    <w:p>
      <w:p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迈克耳孙干涉仪是应用光的干涉原理，测量长度或长度变化的精密的光学仪器，其光路图如图所示。</w:t>
      </w:r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507740" cy="2690495"/>
            <wp:effectExtent l="0" t="0" r="10160" b="1905"/>
            <wp:docPr id="2" name="图片 2" descr="截屏2020-10-26 下午7.28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0-10-26 下午7.28.4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从氦氖激光器发出的单色光s，经扩束镜L将光束扩束成一个理想的发散光束，该光束射到与光束成45°倾斜的分光板G上，G的后表面镀有铝或银的半反射膜，光束被半反射膜分成强度大致相同的反射光（1）和（2）。这两束光沿着不同的方向射到两个平面镜M和M*上，经两平面镜反射至G1后汇合在一起。仔细调节M和M*，就可以在E处观察到干涉条纹。G2为补偿板，其材料和厚度与G相同，用以补偿光束（2）的光程，使光束（2）与光束（1）在玻璃中走过的光程大致相等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2.迈克耳孙干涉仪的结构图如图所示。两平面镜M1和M2放置在相互垂直的两臂上。其中平面镜M是固定的，平面镜M可在精密的导轨上前后移动，以便改变两光束的光程差，移动范围在0~100nm内。平面镜M、M的背后各有三个微调螺丝（图中的3、12），用以改变平面镜M1、M2的角度。在平面镜M2的下端还附有两个相互垂直的拉簧螺丝10、11，可以细调平面镜M2的倾斜度。</w:t>
      </w:r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101975" cy="3634740"/>
            <wp:effectExtent l="0" t="0" r="9525" b="10160"/>
            <wp:docPr id="3" name="图片 3" descr="截屏2020-10-26 下午7.35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0-10-26 下午7.35.2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移动平面镜M2有两种方式∶一是旋转粗调手轮7可以较快地移动M2∶二是旋转微调鼓轮9可以微量移动M1（如果迈克耳孙干涉仪有紧固螺丝8，则在转动微调鼓轮前，先要拧紧紧固螺丝8，转动粗调手轮前必须松开紧固螺丝8，否则会损坏精密丝杆。若没有紧固螺丝，直接旋转微调鼓轮9则可微量移动M1）。平面镜M1的位置读数由三部分组成∶从导轨上读出毫米以上的值;从仪器窗口的刻度盘上读到0.01mm;在微动手轮上最小刻度值为0.000lmm，还可估读到0.0001mm的1/10。</w:t>
      </w:r>
    </w:p>
    <w:p>
      <w:p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等倾干涉条纹</w:t>
      </w:r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1868170" cy="1677035"/>
            <wp:effectExtent l="0" t="0" r="11430" b="12065"/>
            <wp:docPr id="4" name="图片 4" descr="截屏2020-10-26 下午7.41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0-10-26 下午7.41.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6817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当M1和M2垂直时，像M2*是M2对半反射膜的虚象，其位置在M附近。当所用光源为单色扩展光源时，我们在E处观察到的干涉条纹可以看作实反射镜M2和虚反射镜M2* 所反射的光叠加而成的。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设d为M1、M2间的距离，8为入射光束的入射角，8为折射角，由于M、M间是空气层，当一束光入射到M1、M2镜面而分别反射出（1）、（2）两条光束时，由于（1）、（2）来自同一光束，是相干的。当d一定时，光程差5随着入射角O的变化而改变，同一倾角的各对应点的两反射光线都具有相同的光程差，这样的干涉，其光强分布由各光束的倾角决定，称为等倾干涉条纹。当用单色光入射时，我们在毛玻璃屏上观察到的是一组明暗相间的同心圆条纹，而干涉条纹的级次以圆心为最大。当d减小（即M1向M2靠近）时，若我们跟踪观察某一圈条纹，将看到该干涉环变小，向中心收缩（。每当d减小力2，干涉条纹就向中心消失一个。当M1与M2接近时，条纹变粗变疏。当M1与M2完全重合（即d=0）时，视场亮度均匀。</w:t>
      </w:r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926965" cy="2132330"/>
            <wp:effectExtent l="0" t="0" r="635" b="1270"/>
            <wp:docPr id="5" name="图片 5" descr="截屏2020-10-26 下午7.44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0-10-26 下午7.44.18"/>
                    <pic:cNvPicPr>
                      <a:picLocks noChangeAspect="1"/>
                    </pic:cNvPicPr>
                  </pic:nvPicPr>
                  <pic:blipFill>
                    <a:blip r:embed="rId7"/>
                    <a:srcRect l="4577" t="8345" r="1902" b="6337"/>
                    <a:stretch>
                      <a:fillRect/>
                    </a:stretch>
                  </pic:blipFill>
                  <pic:spPr>
                    <a:xfrm>
                      <a:off x="0" y="0"/>
                      <a:ext cx="492696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当M继续沿原方向前进时，d逐渐由零增加，将看到干涉条纹一个一个地从中心冒出来，每当d增加波长/2，就从中间冒出一个，随着d的增加，条纹重叠成模糊一片。</w:t>
      </w:r>
    </w:p>
    <w:p>
      <w:pPr>
        <w:rPr>
          <w:rFonts w:hint="eastAsia"/>
        </w:rPr>
      </w:pPr>
      <w:r>
        <w:rPr>
          <w:rFonts w:hint="eastAsia"/>
        </w:rPr>
        <w:t>4.测量光波的波长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在等倾干涉条件下，设M移动距离△d，相应冒出（或消失）的圆条纹数N，则由书中公式可见，我们从仪器上读出△d，同时数出相应冒出（或消失）的圆条纹数N，就可以计算出光波的波长。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三、</w:t>
      </w:r>
      <w:r>
        <w:rPr>
          <w:rFonts w:hint="eastAsia"/>
        </w:rPr>
        <w:t>实验仪器用具：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迈克耳孙干涉仪，He-Ne多光束光纤激光器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实验步骤或内容：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1.调节干涉仪，观察非定域干涉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>(1)水平调节。调节干涉仪底脚媒丝，使仪器导轨平面水平,然后用锁紧圈锁住。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>(2)等臂调节。调节粗调手轮移动M,镜，让M M,镜与分光板G,大致等距离。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>(3)最亮点重合。打开激光开关,检查激光输出嘴的位置和方向，让光束垂直射向M,的中心部位。将观察屏转向一侧并固定 戴上墨镜，直接观察M2镜，视野中呈现两排分别由M1、M2反射回来的亮点，找准每排亮点中最亮的那个点，分别调节M和M,两个反射镜背后的调节螺丝(先调M1，再调M2) ,使两排亮点中最亮的光点严格重合，此时说明M1已垂直于M2。注意调节时调节螺丝的松紧要均衡,防止损坏调节螺丝。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>(4)条纹移到屏中央。将观察屏转回原位置，若上一步中的最亮点已经严格重合，则观察屏上可以观察到圆形干涉条纹，若没有条纹，可能是亮点没严格重合，或者条纹在屏幕边缘。调节粗调手轮使条纹大小、粗细适中，再轻微调节M1镜上的水平或竖直拉簧螺丝，使圆形条纹的中心位于屏中央。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>(5)观察非定域干涉。前后左右移动屏的位置和角度，发现干涉条纹的大小或形状发生变化，证明非定义域干涉是空间处处相干的。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(6)条纹特征与d的关系。调节粗调手轮前后移动M2,观察条纹的“冒出”或“缩进”现象,判断M与M2之间的距离d是变大还是变小，并观察条纹的粗细、疏密和d之间的关系。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>2.测量激光波长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仪器调零。因为旋转微调手轮时，粗调手轮随之变化，而旋转粗调手轮时微调手轮并不随之变化，所以测量前必须调零。方法如下:沿某方向(例如顺时针)将微调手轮调到零并记住旋转方向(为避免空程差后面的测量都要沿此方向)，沿同一方向旋转粗调手轮使之对准某一刻度，注意此后粗调手轮不要再动。测量过程中若需要反方向旋转微调手轮，则一定要重新调零。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(2)测量并计算波长。沿刚才的方向旋转微调手轮，条纹每冒出或缩进50个记录相应的M2的位置，连续记录6次以上，数据记录表中,用最小二乘法计算激光的波长。</w:t>
      </w:r>
    </w:p>
    <w:p>
      <w:pPr>
        <w:rPr>
          <w:rFonts w:hint="eastAsia"/>
        </w:rPr>
      </w:pPr>
      <w:r>
        <w:rPr>
          <w:rFonts w:hint="eastAsia"/>
        </w:rPr>
        <w:t>五、实验数据记录及处理：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8"/>
        <w:gridCol w:w="1176"/>
        <w:gridCol w:w="398"/>
        <w:gridCol w:w="862"/>
        <w:gridCol w:w="503"/>
        <w:gridCol w:w="643"/>
        <w:gridCol w:w="632"/>
        <w:gridCol w:w="572"/>
        <w:gridCol w:w="725"/>
        <w:gridCol w:w="479"/>
        <w:gridCol w:w="12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8" w:type="dxa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条纹移动数N1</w:t>
            </w:r>
          </w:p>
        </w:tc>
        <w:tc>
          <w:tcPr>
            <w:tcW w:w="117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60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50</w:t>
            </w:r>
          </w:p>
        </w:tc>
        <w:tc>
          <w:tcPr>
            <w:tcW w:w="1146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100</w:t>
            </w:r>
          </w:p>
        </w:tc>
        <w:tc>
          <w:tcPr>
            <w:tcW w:w="120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150</w:t>
            </w:r>
          </w:p>
        </w:tc>
        <w:tc>
          <w:tcPr>
            <w:tcW w:w="120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200</w:t>
            </w:r>
          </w:p>
        </w:tc>
        <w:tc>
          <w:tcPr>
            <w:tcW w:w="12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可移动镜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位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置d1/mm</w:t>
            </w:r>
          </w:p>
        </w:tc>
        <w:tc>
          <w:tcPr>
            <w:tcW w:w="117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49.93185</w:t>
            </w:r>
          </w:p>
        </w:tc>
        <w:tc>
          <w:tcPr>
            <w:tcW w:w="1260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49.91540</w:t>
            </w:r>
          </w:p>
        </w:tc>
        <w:tc>
          <w:tcPr>
            <w:tcW w:w="1146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49.90000</w:t>
            </w:r>
          </w:p>
        </w:tc>
        <w:tc>
          <w:tcPr>
            <w:tcW w:w="120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49.88355</w:t>
            </w:r>
          </w:p>
        </w:tc>
        <w:tc>
          <w:tcPr>
            <w:tcW w:w="120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49.86850</w:t>
            </w:r>
          </w:p>
        </w:tc>
        <w:tc>
          <w:tcPr>
            <w:tcW w:w="12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49.85270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i w:val="0"/>
                <w:sz w:val="24"/>
                <w:szCs w:val="24"/>
                <w:lang w:val="en-US" w:eastAsia="zh-CN"/>
              </w:rPr>
              <w:t>/mm</w:t>
            </w:r>
          </w:p>
        </w:tc>
        <w:tc>
          <w:tcPr>
            <w:tcW w:w="157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0.01645</w:t>
            </w:r>
          </w:p>
        </w:tc>
        <w:tc>
          <w:tcPr>
            <w:tcW w:w="1365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0.01540</w:t>
            </w:r>
          </w:p>
        </w:tc>
        <w:tc>
          <w:tcPr>
            <w:tcW w:w="1275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0.01645</w:t>
            </w:r>
          </w:p>
        </w:tc>
        <w:tc>
          <w:tcPr>
            <w:tcW w:w="1297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0.01505</w:t>
            </w:r>
          </w:p>
        </w:tc>
        <w:tc>
          <w:tcPr>
            <w:tcW w:w="1683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0.01580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波长</w:t>
            </w:r>
            <w:r>
              <w:rPr>
                <w:rFonts w:hint="eastAsia" w:ascii="宋体" w:hAnsi="宋体" w:eastAsia="宋体" w:cs="宋体"/>
                <w:i w:val="0"/>
                <w:sz w:val="24"/>
                <w:szCs w:val="24"/>
                <w:lang w:val="en-US" w:eastAsia="zh-CN"/>
              </w:rPr>
              <w:t>/nm</w:t>
            </w:r>
          </w:p>
        </w:tc>
        <w:tc>
          <w:tcPr>
            <w:tcW w:w="157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658</w:t>
            </w:r>
          </w:p>
        </w:tc>
        <w:tc>
          <w:tcPr>
            <w:tcW w:w="1365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616</w:t>
            </w:r>
          </w:p>
        </w:tc>
        <w:tc>
          <w:tcPr>
            <w:tcW w:w="1275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658</w:t>
            </w:r>
          </w:p>
        </w:tc>
        <w:tc>
          <w:tcPr>
            <w:tcW w:w="1297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602</w:t>
            </w:r>
          </w:p>
        </w:tc>
        <w:tc>
          <w:tcPr>
            <w:tcW w:w="1683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632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60320" cy="2066925"/>
            <wp:effectExtent l="0" t="0" r="5080" b="3175"/>
            <wp:docPr id="6" name="图片 6" descr="微信图片_2024041721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2404172110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45050" cy="2280285"/>
            <wp:effectExtent l="4445" t="4445" r="14605" b="13970"/>
            <wp:docPr id="1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hAnsi="Cambria Math" w:cs="Cambria Math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="Cambria Math"/>
          <w:i w:val="0"/>
          <w:kern w:val="2"/>
          <w:sz w:val="21"/>
          <w:szCs w:val="24"/>
          <w:lang w:val="en-US" w:eastAsia="zh-CN" w:bidi="ar-SA"/>
        </w:rPr>
        <w:t>六、实验结果及讨论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不确定度的计算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00450" cy="2651125"/>
            <wp:effectExtent l="0" t="0" r="6350" b="3175"/>
            <wp:docPr id="10" name="图片 10" descr="微信图片_20240418231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_2024041823115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利用最小二乘法计算波长</w:t>
      </w:r>
    </w:p>
    <w:p>
      <w:pPr>
        <w:jc w:val="center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drawing>
          <wp:inline distT="0" distB="0" distL="114300" distR="114300">
            <wp:extent cx="3310890" cy="3059430"/>
            <wp:effectExtent l="0" t="0" r="3810" b="1270"/>
            <wp:docPr id="8" name="图片 8" descr="微信图片_2024041823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2404182311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考查题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1.根据迈克耳孙干涉仪的光路，说明各光学元件的作用。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分束镜：激光入射后，经分束镜的半透半反膜，等强度地分成两束。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补偿板：使分束镜分出的两束光再次相遇时在玻璃板中通过相同的光程，这样两光束的光程差就和在玻璃中的光程无关了。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2.在观察非定域干涉时，为什么当d足够大时，屏上看不到干涉条纹了？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条纹间距和d成反比，d增大时，条纹间距变小，条纹变得细而密，当d 足够大时，条纹间距足够小，屏上看不到干涉条纹。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思考题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1.在实验中有时会观察到椭圆或者马鞍型的条纹，思考成因。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观察屏倾斜（两虚光源的连线与观察屏不垂直）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2.改用白色台灯作光源会有什么现象？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出现彩色条纹的干涉条纹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3.如果用激光作光源，迈克耳孙干涉仪的两臂不相等，对现象有影响吗？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若两臂不相等程度较小，会影响视野中干涉条纹的疏密及粗细；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当两臂不相等程度很大，会影响实验现象，可能导致观察不到圆形条纹的现象。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对本实验的思考与总结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当d足够大时，条纹很密，不利于观察，应适当调节可移动镜使能清晰地观察到干涉条纹的冒出或缩进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29C19E3"/>
    <w:multiLevelType w:val="singleLevel"/>
    <w:tmpl w:val="D29C19E3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0CAA104D"/>
    <w:multiLevelType w:val="singleLevel"/>
    <w:tmpl w:val="0CAA104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ljYzUzMWQ4OWI0YzBkYjYzMDRhZTY5ZjZkYmFmYTgifQ=="/>
  </w:docVars>
  <w:rsids>
    <w:rsidRoot w:val="00000000"/>
    <w:rsid w:val="64BE62DE"/>
    <w:rsid w:val="67E25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hart" Target="charts/chart1.xml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&#24037;&#20316;&#31807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400" b="1" i="0" u="none" strike="noStrike" kern="1200" baseline="0">
              <a:solidFill>
                <a:schemeClr val="tx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scatterChart>
        <c:scatterStyle val="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r"/>
            <c:showLegendKey val="0"/>
            <c:showVal val="1"/>
            <c:showCatName val="1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[工作簿1]Sheet1!$A$1:$F$1</c:f>
              <c:numCache>
                <c:formatCode>General</c:formatCode>
                <c:ptCount val="6"/>
                <c:pt idx="0">
                  <c:v>0</c:v>
                </c:pt>
                <c:pt idx="1">
                  <c:v>50</c:v>
                </c:pt>
                <c:pt idx="2">
                  <c:v>100</c:v>
                </c:pt>
                <c:pt idx="3">
                  <c:v>150</c:v>
                </c:pt>
                <c:pt idx="4">
                  <c:v>200</c:v>
                </c:pt>
                <c:pt idx="5">
                  <c:v>250</c:v>
                </c:pt>
              </c:numCache>
            </c:numRef>
          </c:xVal>
          <c:yVal>
            <c:numRef>
              <c:f>[工作簿1]Sheet1!$A$2:$F$2</c:f>
              <c:numCache>
                <c:formatCode>General</c:formatCode>
                <c:ptCount val="6"/>
                <c:pt idx="0">
                  <c:v>49.93185</c:v>
                </c:pt>
                <c:pt idx="1">
                  <c:v>49.9154</c:v>
                </c:pt>
                <c:pt idx="2">
                  <c:v>49.9</c:v>
                </c:pt>
                <c:pt idx="3">
                  <c:v>49.88355</c:v>
                </c:pt>
                <c:pt idx="4">
                  <c:v>49.8685</c:v>
                </c:pt>
                <c:pt idx="5">
                  <c:v>49.8527</c:v>
                </c:pt>
              </c:numCache>
            </c:numRef>
          </c:yVal>
          <c:smooth val="0"/>
        </c:ser>
        <c:dLbls>
          <c:showLegendKey val="0"/>
          <c:showVal val="1"/>
          <c:showCatName val="0"/>
          <c:showSerName val="0"/>
          <c:showPercent val="0"/>
          <c:showBubbleSize val="0"/>
        </c:dLbls>
        <c:axId val="627468036"/>
        <c:axId val="880517924"/>
      </c:scatterChart>
      <c:valAx>
        <c:axId val="6274680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80517924"/>
        <c:crosses val="autoZero"/>
        <c:crossBetween val="midCat"/>
      </c:valAx>
      <c:valAx>
        <c:axId val="8805179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627468036"/>
        <c:crosses val="autoZero"/>
        <c:crossBetween val="midCat"/>
      </c:valAx>
      <c:spPr>
        <a:noFill/>
        <a:ln w="9525" cap="flat" cmpd="sng" algn="ctr">
          <a:solidFill>
            <a:schemeClr val="tx1">
              <a:lumMod val="15000"/>
              <a:lumOff val="85000"/>
            </a:schemeClr>
          </a:solidFill>
          <a:round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1017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 w="19050" cap="rnd">
        <a:noFill/>
        <a:round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dk1"/>
    </cs:fontRef>
    <cs:spPr>
      <a:ln w="9525">
        <a:solidFill>
          <a:schemeClr val="phClr"/>
        </a:solidFill>
      </a:ln>
      <a:effectLst/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2024-04-17T12:41:00Z</dcterms:created>
  <dc:creator>XY</dc:creator>
  <cp:lastModifiedBy>༺ཌༀཉི许༒洋༃ༀད༻</cp:lastModifiedBy>
  <dcterms:modified xsi:type="dcterms:W3CDTF">2024-04-18T15:13:28Z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9DAAD612BDEB4F03985F3A12787454EE_12</vt:lpwstr>
  </property>
</Properties>
</file>