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«Tân Jerusalem»</w:t>
      </w:r>
    </w:p>
    <w:p>
      <w:r>
        <w:rPr>
          <w:i/>
          <w:color w:val="5C6773"/>
          <w:sz w:val="22"/>
        </w:rPr>
        <w:t>Музейно-выставочный комплекс «Новый Иерусалим» · New Jerusalem Museum-Exhibition Complex</w:t>
      </w:r>
    </w:p>
    <w:p>
      <w:r>
        <w:rPr>
          <w:sz w:val="25"/>
        </w:rPr>
        <w:t>Một trong những bảo tàng vùng (khu vực) lớn và hiện đại nhất nước Nga, nằm ngay cạnh Tu viện Tân Jerusalem.</w:t>
      </w:r>
    </w:p>
    <w:p>
      <w:r>
        <w:rPr>
          <w:b/>
          <w:color w:val="152C4E"/>
          <w:sz w:val="26"/>
        </w:rPr>
        <w:t>★ Điểm nhấn</w:t>
      </w:r>
    </w:p>
    <w:p>
      <w:pPr>
        <w:pStyle w:val="ListBullet"/>
      </w:pPr>
      <w:r>
        <w:t>Toà nhà hiện đại, «ẩn mình» dưới mái cỏ, khánh thành 2014</w:t>
      </w:r>
    </w:p>
    <w:p>
      <w:pPr>
        <w:pStyle w:val="ListBullet"/>
      </w:pPr>
      <w:r>
        <w:t>Bộ sưu tập mỹ thuật, lịch sử, dân tộc học phong phú</w:t>
      </w:r>
    </w:p>
    <w:p>
      <w:pPr>
        <w:pStyle w:val="ListBullet"/>
      </w:pPr>
      <w:r>
        <w:t>Triển lãm tạm thường xuyên tầm cỡ quốc gia</w:t>
      </w:r>
    </w:p>
    <w:p>
      <w:pPr>
        <w:pStyle w:val="ListBullet"/>
      </w:pPr>
      <w:r>
        <w:t>Bổ trợ hoàn hảo cho chuyến thăm tu viện</w:t>
      </w:r>
    </w:p>
    <w:p>
      <w:pPr>
        <w:pStyle w:val="Heading1"/>
      </w:pPr>
      <w:r>
        <w:rPr>
          <w:color w:val="152C4E"/>
        </w:rPr>
        <w:t>Một bảo tàng vùng tầm cỡ</w:t>
      </w:r>
    </w:p>
    <w:p>
      <w:pPr>
        <w:jc w:val="both"/>
      </w:pPr>
      <w:r>
        <w:t>Музейно-выставочный комплекс «Новый Иерусалим» là bảo tàng lịch sử – nghệ thuật của tỉnh Moskva, có gốc rễ từ bảo tàng thành lập trong tu viện những năm 1920. Năm 2014, bảo tàng chuyển sang toà nhà mới hiện đại ngay cạnh tu viện.</w:t>
      </w:r>
    </w:p>
    <w:p>
      <w:pPr>
        <w:jc w:val="both"/>
      </w:pPr>
      <w:r>
        <w:t>Công trình nổi tiếng vì thiết kế «ẩn mình»: phần lớn khối nhà nằm dưới gò đất phủ cỏ để không lấn át cảnh quan tu viện cổ, nhưng bên trong là không gian trưng bày rộng rãi, hiện đại.</w:t>
      </w:r>
    </w:p>
    <w:p>
      <w:pPr>
        <w:pStyle w:val="Heading1"/>
      </w:pPr>
      <w:r>
        <w:rPr>
          <w:color w:val="152C4E"/>
        </w:rPr>
        <w:t>Bộ sưu tập và triển lãm</w:t>
      </w:r>
    </w:p>
    <w:p>
      <w:pPr>
        <w:jc w:val="both"/>
      </w:pPr>
      <w:r>
        <w:t>Bảo tàng sở hữu bộ sưu tập lớn về mỹ thuật Nga (tranh, icon), lịch sử địa phương, nghệ thuật trang trí – ứng dụng và dân tộc học. Đáng chú ý là các triển lãm tạm thời quy mô, thường mời tác phẩm từ các bảo tàng hàng đầu như Tretyakov, Hermitage.</w:t>
      </w:r>
    </w:p>
    <w:p>
      <w:pPr>
        <w:jc w:val="both"/>
      </w:pPr>
      <w:r>
        <w:t>Nhờ vậy, mỗi lần ghé có thể gặp một chủ đề khác nhau — nên kiểm tra lịch triển lãm hiện hành trước khi đi.</w:t>
      </w:r>
    </w:p>
    <w:p>
      <w:pPr>
        <w:pStyle w:val="Heading1"/>
      </w:pPr>
      <w:r>
        <w:rPr>
          <w:color w:val="152C4E"/>
        </w:rPr>
        <w:t>Gợi ý tham quan</w:t>
      </w:r>
    </w:p>
    <w:p>
      <w:pPr>
        <w:jc w:val="both"/>
      </w:pPr>
      <w:r>
        <w:t>Kết hợp lý tưởng: buổi sáng thăm tu viện cổ, buổi chiều vào bảo tàng hiện đại — hai trải nghiệm tương phản thú vị. Dành khoảng 1,5–2 giờ cho bảo tàng.</w:t>
      </w:r>
    </w:p>
    <w:p>
      <w:pPr>
        <w:jc w:val="both"/>
      </w:pPr>
      <w:r>
        <w:t>Có khu vệ sinh, café và chỗ nghỉ hiện đại — tiện cho đoàn. Kiểm tra giờ mở cửa và triển lãm trên trang chính thức trước khi tới.</w:t>
      </w:r>
    </w:p>
    <w:p>
      <w:pPr>
        <w:pStyle w:val="Heading1"/>
      </w:pPr>
      <w:r>
        <w:rPr>
          <w:color w:val="152C4E"/>
        </w:rPr>
        <w:t>Nguồn tham khảo &amp; liên kết</w:t>
      </w:r>
    </w:p>
    <w:p>
      <w:r>
        <w:rPr>
          <w:sz w:val="22"/>
        </w:rPr>
        <w:t xml:space="preserve">• Достопримечательности Истры — Т—Ж — </w:t>
      </w:r>
      <w:r>
        <w:rPr>
          <w:color w:val="204A86"/>
          <w:sz w:val="20"/>
        </w:rPr>
        <w:t>https://t-j.ru/dostoprimechatelnosti-istra/</w:t>
      </w:r>
    </w:p>
    <w:p>
      <w:r>
        <w:rPr>
          <w:sz w:val="22"/>
        </w:rPr>
        <w:t xml:space="preserve">• Истра — Tonkosti.ru — </w:t>
      </w:r>
      <w:r>
        <w:rPr>
          <w:color w:val="204A86"/>
          <w:sz w:val="20"/>
        </w:rPr>
        <w:t>https://tonkosti.ru/%D0%98%D1%81%D1%82%D1%80%D0%B0</w:t>
      </w:r>
    </w:p>
    <w:p>
      <w:pPr>
        <w:pStyle w:val="Heading2"/>
      </w:pPr>
      <w:r>
        <w:rPr>
          <w:color w:val="5C6773"/>
        </w:rPr>
        <w:t>Nguồn dữ kiện</w:t>
      </w:r>
    </w:p>
    <w:p>
      <w:r>
        <w:rPr>
          <w:color w:val="5C6773"/>
          <w:sz w:val="20"/>
        </w:rPr>
        <w:t>Достопримечательности Истры — Т—Ж (https://t-j.ru/dostoprimechatelnosti-istra/)</w:t>
      </w:r>
    </w:p>
    <w:p>
      <w:r>
        <w:rPr>
          <w:color w:val="5C6773"/>
          <w:sz w:val="20"/>
        </w:rPr>
        <w:t>Истра — Tonkosti.ru (https://tonkosti.ru/%D0%98%D1%81%D1%82%D1%80%D0%B0)</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