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采购需求与采购单控制规程</w:t>
      </w:r>
    </w:p>
    <w:tbl>
      <w:tblPr>
        <w:tblW w:type="auto" w:w="0"/>
        <w:tblLayout w:type="fixed"/>
        <w:tblLook w:firstColumn="1" w:firstRow="1" w:lastColumn="0" w:lastRow="0" w:noHBand="0" w:noVBand="1" w:val="04A0"/>
      </w:tblPr>
      <w:tblGrid>
        <w:gridCol w:w="1656"/>
        <w:gridCol w:w="8280"/>
      </w:tblGrid>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文档编号</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INV-PUR-003</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版本</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1.0-draft.1</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发布状态</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待企业核准  尚未生效</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起草日期</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2026-10-22</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归口岗位</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采购管理负责人</w:t>
            </w:r>
          </w:p>
        </w:tc>
      </w:tr>
      <w:t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批准与生效</w:t>
            </w:r>
          </w:p>
        </w:tc>
        <w:tc>
          <w:tcPr>
            <w:tcW w:type="dxa" w:w="82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批准人待登记  生效日期待核准</w:t>
            </w:r>
          </w:p>
        </w:tc>
      </w:tr>
    </w:tbl>
    <w:p/>
    <w:p>
      <w:r>
        <w:t>本规程将需求核验、业务批准、采购单确认和实际交付分开控制，适用于常规补货、维修专用件和紧急采购。当前为待核准稿，不授予实际签约或付款权限。</w:t>
      </w:r>
    </w:p>
    <w:p>
      <w:pPr>
        <w:pStyle w:val="Heading1"/>
      </w:pPr>
      <w:r>
        <w:t>1 需求提出与查重</w:t>
      </w:r>
    </w:p>
    <w:p>
      <w:r>
        <w:rPr>
          <w:b/>
        </w:rPr>
        <w:t xml:space="preserve">INV-PUR-003-C001 </w:t>
      </w:r>
      <w:r>
        <w:t>需求申请应列明用途、SKU或待核实部件、需求仓库、数量、单位、需要日期及相关维修或补货依据。车型适配未核实的专用件不得仅凭症状或相似名称直接转为采购指令。</w:t>
      </w:r>
    </w:p>
    <w:p>
      <w:r>
        <w:rPr>
          <w:b/>
        </w:rPr>
        <w:t xml:space="preserve">INV-PUR-003-C002 </w:t>
      </w:r>
      <w:r>
        <w:t>提出采购前核对可用量、已确认采购未收数量、目标方向调拨在途和其他仓可调余量，避免重复占用同一供给。统计时间、单位和覆盖限制按INV-ANA-009说明，不能把草稿采购计入已落实供给。</w:t>
      </w:r>
    </w:p>
    <w:p>
      <w:r>
        <w:rPr>
          <w:b/>
        </w:rPr>
        <w:t xml:space="preserve">INV-PUR-003-C003 </w:t>
      </w:r>
      <w:r>
        <w:t>历史不足、交期缺失或供应商未核实时，可提出需人工评估的需求，不得以模型猜测补齐计算输入。安全库存缺口不必然等于采购量，还需检查在途、待收和其他仓调拨条件。</w:t>
      </w:r>
    </w:p>
    <w:p>
      <w:pPr>
        <w:pStyle w:val="Heading1"/>
      </w:pPr>
      <w:r>
        <w:t>2 供应与价格复核</w:t>
      </w:r>
    </w:p>
    <w:p>
      <w:r>
        <w:rPr>
          <w:b/>
        </w:rPr>
        <w:t xml:space="preserve">INV-PUR-003-C004 </w:t>
      </w:r>
      <w:r>
        <w:t>采购经办人确认供应商资格、规格及件号、交付单位、价格口径、交期、验收条件和合同或报价版本。原则上保留来源比较；单一来源、紧急采购等例外应记录原因并取得相应授权，不能虚构比价记录。</w:t>
      </w:r>
    </w:p>
    <w:p>
      <w:r>
        <w:rPr>
          <w:b/>
        </w:rPr>
        <w:t xml:space="preserve">INV-PUR-003-C005 </w:t>
      </w:r>
      <w:r>
        <w:t>采购单价依据获准的合同或报价录入，不以参考单价自动代替。当前单据按人民币金额使用，尚未分别表达税率、币种、运费分摊及汇率；涉及这些条件时，应由财务在合同与外部记录中确认，不能把录入金额直接认定为会计成本或应付金额。</w:t>
      </w:r>
    </w:p>
    <w:p>
      <w:r>
        <w:rPr>
          <w:b/>
        </w:rPr>
        <w:t xml:space="preserve">INV-PUR-003-C006 </w:t>
      </w:r>
      <w:r>
        <w:t>供应商资料中的交期是计划输入，实际承诺以适用合同、订单回执或双方确认记录为准。承诺日期、起算条件和工作日或自然日必须明确；未经确认不得向业务岗位保证到货。</w:t>
      </w:r>
    </w:p>
    <w:p>
      <w:pPr>
        <w:pStyle w:val="Heading1"/>
      </w:pPr>
      <w:r>
        <w:t>3 批准与权限</w:t>
      </w:r>
    </w:p>
    <w:p>
      <w:r>
        <w:rPr>
          <w:b/>
        </w:rPr>
        <w:t xml:space="preserve">INV-PUR-003-C007 </w:t>
      </w:r>
      <w:r>
        <w:t>采购批准应关联需求与报价的最终版本，确认金额口径、用途、数量及授权范围。批准额度和审批层级必须来自企业有效授权表，未登记时提交负责人核定，不以软件角色推定无限授权。</w:t>
      </w:r>
    </w:p>
    <w:p>
      <w:r>
        <w:rPr>
          <w:b/>
        </w:rPr>
        <w:t xml:space="preserve">INV-PUR-003-C008 </w:t>
      </w:r>
      <w:r>
        <w:t>经办、复核和批准按企业岗位安排分工；技术管理员能办理单据不代表可以批准自身采购。当前软件没有独立审批流，应保留受控批准记录，并在单据备注登记记录编号，原批准材料不得仅存在于聊天消息中。</w:t>
      </w:r>
    </w:p>
    <w:tbl>
      <w:tblPr>
        <w:tblW w:type="auto" w:w="0"/>
        <w:tblLayout w:type="fixed"/>
        <w:tblLook w:firstColumn="1" w:firstRow="1" w:lastColumn="0" w:lastRow="0" w:noHBand="0" w:noVBand="1" w:val="04A0"/>
      </w:tblPr>
      <w:tblGrid>
        <w:gridCol w:w="1728"/>
        <w:gridCol w:w="4104"/>
        <w:gridCol w:w="4104"/>
      </w:tblGrid>
      <w:tr>
        <w:trPr>
          <w:tblHeader/>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控制环节</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责任岗位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DEFF2"/>
          </w:tcPr>
          <w:p>
            <w:pPr>
              <w:spacing w:after="60" w:before="60" w:line="252" w:lineRule="auto"/>
              <w:snapToGrid w:val="0"/>
            </w:pPr>
            <w:r>
              <w:rPr>
                <w:b/>
                <w:sz w:val="20"/>
              </w:rPr>
              <w:t>需要确认的记录</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需求核实</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需求提出人与仓管</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用途 数量 实时供给 工单或补货依据</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采购复核</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采购经办与复核岗位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规格 供应商 报价 交期 批准对象</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授权批准</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企业授权批准人</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授权范围 批准版本 例外原因</w:t>
            </w:r>
          </w:p>
        </w:tc>
      </w:tr>
      <w:t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到货验收</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仓管与必要技术岗位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snapToGrid w:val="0"/>
            </w:pPr>
            <w:r>
              <w:rPr>
                <w:sz w:val="20"/>
              </w:rPr>
              <w:t>实收数量 质量标识 差异及交接</w:t>
            </w:r>
          </w:p>
        </w:tc>
      </w:tr>
    </w:tbl>
    <w:p/>
    <w:p>
      <w:pPr>
        <w:pStyle w:val="Heading1"/>
      </w:pPr>
      <w:r>
        <w:t>4 采购单建立与确认</w:t>
      </w:r>
    </w:p>
    <w:p>
      <w:r>
        <w:rPr>
          <w:b/>
        </w:rPr>
        <w:t xml:space="preserve">INV-PUR-003-C009 </w:t>
      </w:r>
      <w:r>
        <w:t>建立采购草稿时选择供应商和业务仓库，录入正整数数量、准确单位及非负单价。同单不得重复同一SKU，业务日期不得晚于办理日。供应商、仓库和备件须处于允许办理状态。</w:t>
      </w:r>
    </w:p>
    <w:p>
      <w:r>
        <w:rPr>
          <w:b/>
        </w:rPr>
        <w:t xml:space="preserve">INV-PUR-003-C010 </w:t>
      </w:r>
      <w:r>
        <w:t>草稿经核对后执行业务确认，进入已确认状态。创建或确认均不增加现有库存；确认后的有效未收数量可计入采购待收，但不等于合同已签署、外部订单已发送或付款已完成。</w:t>
      </w:r>
    </w:p>
    <w:p>
      <w:r>
        <w:rPr>
          <w:b/>
        </w:rPr>
        <w:t xml:space="preserve">INV-PUR-003-C011 </w:t>
      </w:r>
      <w:r>
        <w:t>当前草稿没有直接编辑能力，填写错误应取消后重新建立，并关联原草稿及批准变更依据。不得通过修改已引用的备件单位、价格主数据或历史明细来修正已确认单据。</w:t>
      </w:r>
    </w:p>
    <w:p>
      <w:r>
        <w:rPr>
          <w:b/>
        </w:rPr>
        <w:t xml:space="preserve">INV-PUR-003-C012 </w:t>
      </w:r>
      <w:r>
        <w:t>同一业务请求以唯一请求标识办理。结果不明时先检查单据状态与请求结果，重试原请求；变更参数需要重新复核，不复用与原参数不同的请求标识。</w:t>
      </w:r>
    </w:p>
    <w:p>
      <w:pPr>
        <w:pStyle w:val="Heading1"/>
      </w:pPr>
      <w:r>
        <w:t>5 收货与取消</w:t>
      </w:r>
    </w:p>
    <w:p>
      <w:r>
        <w:rPr>
          <w:b/>
        </w:rPr>
        <w:t xml:space="preserve">INV-PUR-003-C013 </w:t>
      </w:r>
      <w:r>
        <w:t>仅已确认或部分收货的采购单可登记实际收货。每次实收形成独立入库单，累计实收不得超过原采购行数量，也不得借用其他采购单的明细。验收及暂不接收情形按INV-RCV-004执行。</w:t>
      </w:r>
    </w:p>
    <w:p>
      <w:r>
        <w:rPr>
          <w:b/>
        </w:rPr>
        <w:t xml:space="preserve">INV-PUR-003-C014 </w:t>
      </w:r>
      <w:r>
        <w:t>部分收货后保留已收数量和剩余待收数量；全部完成后转为已完成。一次收货失败应整体回滚，不得出现某行入账而同次其他行失败后仍保留部分结果。</w:t>
      </w:r>
    </w:p>
    <w:p>
      <w:r>
        <w:rPr>
          <w:b/>
        </w:rPr>
        <w:t xml:space="preserve">INV-PUR-003-C015 </w:t>
      </w:r>
      <w:r>
        <w:t>可以取消草稿及已确认、部分收货采购单的未收余量。取消不退回已经收到的实物，也不删除实际入库或流水；已完成采购不通过取消实现退供。</w:t>
      </w:r>
    </w:p>
    <w:p>
      <w:r>
        <w:rPr>
          <w:b/>
        </w:rPr>
        <w:t xml:space="preserve">INV-PUR-003-C016 </w:t>
      </w:r>
      <w:r>
        <w:t>取消外部供货承诺或变更交期应另与供应商确认，保存回执。系统取消未收余量不自动通知供应商，也不代表合同违约责任、结算或退款已经处理。</w:t>
      </w:r>
    </w:p>
    <w:p>
      <w:pPr>
        <w:pStyle w:val="Heading1"/>
      </w:pPr>
      <w:r>
        <w:t>6 异常闭环与记录</w:t>
      </w:r>
    </w:p>
    <w:p>
      <w:r>
        <w:rPr>
          <w:b/>
        </w:rPr>
        <w:t xml:space="preserve">INV-PUR-003-C017 </w:t>
      </w:r>
      <w:r>
        <w:t>延迟、缺货、错件、价格差异、超量到货及失去资格的供应商，应登记异常事项、责任人、临时措施、处理时限和结果。具体承诺与索赔条件以有效合同为依据，不由知识问答生成新的供应商义务。</w:t>
      </w:r>
    </w:p>
    <w:p>
      <w:r>
        <w:rPr>
          <w:b/>
        </w:rPr>
        <w:t xml:space="preserve">INV-PUR-003-C018 </w:t>
      </w:r>
      <w:r>
        <w:t>紧急采购仍应确认身份、用途、规格及授权，保留例外批准和后续复核。紧急不构成负库存出库、假收货、跳过质量检查或由智能体自行对外下单的理由。</w:t>
      </w:r>
    </w:p>
    <w:p>
      <w:r>
        <w:rPr>
          <w:b/>
        </w:rPr>
        <w:t xml:space="preserve">INV-PUR-003-C019 </w:t>
      </w:r>
      <w:r>
        <w:t>采购归档应包括需求依据、批准记录、合同或报价、外部订单及回执、系统采购编号、收货记录、异常处理和必要对账资料。保存年限由企业档案和财务要求核定，不在未核准时虚构固定年限。</w:t>
      </w:r>
    </w:p>
    <w:p>
      <w:r>
        <w:rPr>
          <w:b/>
        </w:rPr>
        <w:t xml:space="preserve">INV-PUR-003-C020 </w:t>
      </w:r>
      <w:r>
        <w:t>采购未结清单应逐项核实是否仍有效、是否逾期及是否重复。未结状态的治理不得通过直接改余额或删除历史单据完成。</w:t>
      </w:r>
    </w:p>
    <w:sectPr w:rsidR="00FC693F" w:rsidRPr="0006063C" w:rsidSect="00034616">
      <w:headerReference w:type="default" r:id="rId9"/>
      <w:footerReference w:type="default" r:id="rId10"/>
      <w:pgSz w:w="12240" w:h="15840"/>
      <w:pgMar w:top="1008" w:right="1152" w:bottom="1008" w:left="1152" w:header="432"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待核准稿  第 </w:t>
    </w:r>
    <w:fldSimple w:instr="PAGE"/>
    <w:r>
      <w:rPr>
        <w:sz w:val="18"/>
      </w:rPr>
      <w:t xml:space="preserve"> 页 共 </w:t>
    </w:r>
    <w:fldSimple w:instr="NUMPAGES"/>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INV-PUR-003    库存制度受控资料    待核准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采购需求与采购单控制规程</dc:title>
  <dc:subject>INV-PUR-003 1.0-draft.1 待企业核准</dc:subject>
  <dc:creator>项目建设组</dc:creator>
  <cp:keywords/>
  <dc:description>generated by python-docx</dc:description>
  <cp:lastModifiedBy/>
  <cp:revision>1</cp:revision>
  <dcterms:created xsi:type="dcterms:W3CDTF">2013-12-23T23:15:00Z</dcterms:created>
  <dcterms:modified xsi:type="dcterms:W3CDTF">2013-12-23T23:15:00Z</dcterms:modified>
  <cp:category/>
</cp:coreProperties>
</file>