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供应商交付与条款核准管理规范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文档编号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INV-SUP-012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版本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1.0-draft.1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发布状态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待企业核准  尚未生效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起草日期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2026-10-22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归口岗位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采购与合同管理负责人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批准与生效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批准人待登记  生效日期待核准</w:t>
            </w:r>
          </w:p>
        </w:tc>
      </w:tr>
    </w:tbl>
    <w:p/>
    <w:p>
      <w:r>
        <w:t>本规范规定供应商准入、交付条件、参数登记及合同版本的控制，不代表任何供应商已经接受本规范或作出交期、退货和赔偿承诺。实际双方权利义务以适用的有效合同及经核准记录为依据。当前为待核准稿。</w:t>
      </w:r>
    </w:p>
    <w:p>
      <w:pPr>
        <w:pStyle w:val="Heading1"/>
      </w:pPr>
      <w:r>
        <w:t>1 供应商准入</w:t>
      </w:r>
    </w:p>
    <w:p>
      <w:r>
        <w:rPr>
          <w:b/>
        </w:rPr>
        <w:t xml:space="preserve">INV-SUP-012-C001 </w:t>
      </w:r>
      <w:r>
        <w:t>采购岗位核对供应商实际签约主体、有效联系方式、可供范围和必要资质，财务核对相关结算资料，技术或质量岗位核对来源与质量条件。资料缺失或状态不明时不默认准入。</w:t>
      </w:r>
    </w:p>
    <w:p>
      <w:r>
        <w:rPr>
          <w:b/>
        </w:rPr>
        <w:t xml:space="preserve">INV-SUP-012-C002 </w:t>
      </w:r>
      <w:r>
        <w:t>系统供应商编码用于内部关联，不代表工商、品牌授权、正品、车型适配或信用认证。现有名称和图片不能作为真实企业身份或供货资格的证明。</w:t>
      </w:r>
    </w:p>
    <w:p>
      <w:r>
        <w:rPr>
          <w:b/>
        </w:rPr>
        <w:t xml:space="preserve">INV-SUP-012-C003 </w:t>
      </w:r>
      <w:r>
        <w:t>供应范围应具体到相关部件类别、件号或合同清单及适用限制。默认供应商只是计划选择，不得据此推断所有规格均可采购或替代。</w:t>
      </w:r>
    </w:p>
    <w:p>
      <w:pPr>
        <w:pStyle w:val="Heading1"/>
      </w:pPr>
      <w:r>
        <w:t>2 交付与价格参数</w:t>
      </w:r>
    </w:p>
    <w:p>
      <w:r>
        <w:rPr>
          <w:b/>
        </w:rPr>
        <w:t xml:space="preserve">INV-SUP-012-C004 </w:t>
      </w:r>
      <w:r>
        <w:t>每项交期记录应说明适用物品、起算事件、天数单位、交付地点、订单确认要求、例外条件、来源版本和确认人。缺少这些信息时，系统中的天数不能直接转为对客户的到货承诺。</w:t>
      </w:r>
    </w:p>
    <w:p>
      <w:r>
        <w:rPr>
          <w:b/>
        </w:rPr>
        <w:t xml:space="preserve">INV-SUP-012-C005 </w:t>
      </w:r>
      <w:r>
        <w:t>当前系统以整数天保存供应商交期，没有独立的工作日历。合同使用工作日或存在节假日、截单和运输条件时，应按核准的方法形成计划输入并保留转换依据，不直接当成自然日相加。</w:t>
      </w:r>
    </w:p>
    <w:p>
      <w:r>
        <w:rPr>
          <w:b/>
        </w:rPr>
        <w:t xml:space="preserve">INV-SUP-012-C006 </w:t>
      </w:r>
      <w:r>
        <w:t>建档时的默认交期不构成合同承诺；未经来源核实不得供智能体作为已确认事实计算。合同交期与计划参数不同，应展示差异并复核，不选择更有利的数值掩盖缺口。</w:t>
      </w:r>
    </w:p>
    <w:p>
      <w:r>
        <w:rPr>
          <w:b/>
        </w:rPr>
        <w:t xml:space="preserve">INV-SUP-012-C007 </w:t>
      </w:r>
      <w:r>
        <w:t>价格条款须说明物品规格、币种、含税或未税口径、运杂费、价格有效期、数量条件及变更方式。现有系统单价字段没有完整税费分摊与多币种能力，财务未确认前不能由模型推算付款或会计成本。</w:t>
      </w:r>
    </w:p>
    <w:p>
      <w:pPr>
        <w:pStyle w:val="Heading1"/>
      </w:pPr>
      <w:r>
        <w:t>3 验收与不符合处理</w:t>
      </w:r>
    </w:p>
    <w:p>
      <w:r>
        <w:rPr>
          <w:b/>
        </w:rPr>
        <w:t xml:space="preserve">INV-SUP-012-C008 </w:t>
      </w:r>
      <w:r>
        <w:t>合同或订单应明确件号规格、单位、包装、随附资料、质量要求和验收方式。来源不明、替代件或规格变更应取得复核，不允许供应商口头承诺替代适配证明。</w:t>
      </w:r>
    </w:p>
    <w:p>
      <w:r>
        <w:rPr>
          <w:b/>
        </w:rPr>
        <w:t xml:space="preserve">INV-SUP-012-C009 </w:t>
      </w:r>
      <w:r>
        <w:t>短交、超交、错件、破损、批次和效期问题应按INV-RCV-004记录实物事实与差异。实际合格接收数才可入库，不能为满足供货结算先按送货单全数登记。</w:t>
      </w:r>
    </w:p>
    <w:p>
      <w:r>
        <w:rPr>
          <w:b/>
        </w:rPr>
        <w:t xml:space="preserve">INV-SUP-012-C010 </w:t>
      </w:r>
      <w:r>
        <w:t>退货、换货、保修、费用承担、索赔及处理期限应从有效条款取得。没有条款时应协商并记录，知识库不得生成某供应商承诺“无条件退货”或固定赔偿等事实。</w:t>
      </w:r>
    </w:p>
    <w:p>
      <w:r>
        <w:rPr>
          <w:b/>
        </w:rPr>
        <w:t xml:space="preserve">INV-SUP-012-C011 </w:t>
      </w:r>
      <w:r>
        <w:t>系统取消未收余量、完成入库或创建采购单，不自动完成对外订单变更、结算、发票处理和争议解决。采购岗位应保留双方确认记录，财务按职责核对。</w:t>
      </w:r>
    </w:p>
    <w:p>
      <w:pPr>
        <w:pStyle w:val="Heading1"/>
      </w:pPr>
      <w:r>
        <w:t>4 参数登记与版本</w:t>
      </w:r>
    </w:p>
    <w:p>
      <w:r>
        <w:rPr>
          <w:b/>
        </w:rPr>
        <w:t xml:space="preserve">INV-SUP-012-C012 </w:t>
      </w:r>
      <w:r>
        <w:t>每项生效参数建立唯一记录，包含供应商识别、来源编号、版本、适用SKU或范围、生效与失效条件、状态、复核和批准。没有实际供应商资料时保持待核准，不为填满字段编造真实合同编号或签字。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104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参数组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应登记内容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未确认时控制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身份与资格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主体 联系方式 资格证据 适用范围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不宣称已准入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交付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起算事件 天数口径 地点 例外 来源版本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不保证到货 不自动补齐交期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价格与结算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规格 币种 税费 有效期 批准依据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交财务及采购复核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验收与售后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验收条件 不符合处理 双方确认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按事实隔离并登记异常</w:t>
            </w:r>
          </w:p>
        </w:tc>
      </w:tr>
    </w:tbl>
    <w:p/>
    <w:p>
      <w:r>
        <w:rPr>
          <w:b/>
        </w:rPr>
        <w:t xml:space="preserve">INV-SUP-012-C013 </w:t>
      </w:r>
      <w:r>
        <w:t>新条款替代旧条款时记录适用订单与时间范围，不把新条件自动追溯覆盖旧订单。检索应保留供应商、版本和生效条件，冲突时交负责人确认。</w:t>
      </w:r>
    </w:p>
    <w:p>
      <w:r>
        <w:rPr>
          <w:b/>
        </w:rPr>
        <w:t xml:space="preserve">INV-SUP-012-C014 </w:t>
      </w:r>
      <w:r>
        <w:t>失效或停用供应商资料保留历史关联，未结采购、在途或质量索赔单独跟进。不能因停用资料就认为未履行义务、未结数量和历史证据已经消失。</w:t>
      </w:r>
    </w:p>
    <w:p>
      <w:pPr>
        <w:pStyle w:val="Heading1"/>
      </w:pPr>
      <w:r>
        <w:t>5 持续复核</w:t>
      </w:r>
    </w:p>
    <w:p>
      <w:r>
        <w:rPr>
          <w:b/>
        </w:rPr>
        <w:t xml:space="preserve">INV-SUP-012-C015 </w:t>
      </w:r>
      <w:r>
        <w:t>采购岗位依据实际订单与验收记录复核交付偏差、质量异常和响应情况，说明样本、统计区间及限制。系统中的少量项目构造事件不能作为某真实供应商的履约评级。</w:t>
      </w:r>
    </w:p>
    <w:p>
      <w:r>
        <w:rPr>
          <w:b/>
        </w:rPr>
        <w:t xml:space="preserve">INV-SUP-012-C016 </w:t>
      </w:r>
      <w:r>
        <w:t>发生资格、质量、结算或供给重大变化时应重新核准受影响参数，通知相关岗位并控制后续下单。更新资料、对外沟通与系统业务分别留痕，不由模型仅凭检索到一份文档自动改变供应关系。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待核准稿  第 </w:t>
    </w:r>
    <w:fldSimple w:instr="PAGE"/>
    <w:r>
      <w:rPr>
        <w:sz w:val="18"/>
      </w:rPr>
      <w:t xml:space="preserve"> 页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INV-SUP-012    库存制度受控资料    待核准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供应商交付与条款核准管理规范</dc:title>
  <dc:subject>INV-SUP-012 1.0-draft.1 待企业核准</dc:subject>
  <dc:creator>项目建设组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