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54A"/>
          <w:sz w:val="56"/>
          <w:szCs w:val="56"/>
        </w:rPr>
        <w:t xml:space="preserve">ATCHÉ</w:t>
      </w:r>
    </w:p>
    <w:p>
      <w:pPr>
        <w:spacing w:after="40"/>
      </w:pPr>
      <w:r>
        <w:rPr>
          <w:b/>
          <w:bCs/>
          <w:color w:val="1A1A1A"/>
          <w:sz w:val="30"/>
          <w:szCs w:val="30"/>
        </w:rPr>
        <w:t xml:space="preserve">Beyond Nightlife: An Expanded Business Model</w:t>
      </w:r>
    </w:p>
    <w:p>
      <w:pPr>
        <w:spacing w:after="280"/>
      </w:pPr>
      <w:r>
        <w:rPr>
          <w:i/>
          <w:iCs/>
          <w:color w:val="595959"/>
          <w:sz w:val="20"/>
          <w:szCs w:val="20"/>
        </w:rPr>
        <w:t xml:space="preserve">Working draft — for internal discussion · June 2026</w:t>
      </w:r>
    </w:p>
    <w:p>
      <w:pPr>
        <w:pStyle w:val="Heading1"/>
      </w:pPr>
      <w:r>
        <w:t xml:space="preserve">The Idea</w:t>
      </w:r>
    </w:p>
    <w:p>
      <w:pPr>
        <w:spacing w:after="160"/>
      </w:pPr>
      <w:r>
        <w:t xml:space="preserve">Right now ATCHÉ is built around one room: nightlife. Hosts, DJs, photographers, and creative women who get booked for events, parties, and brand activations in DC's nightlife scene.</w:t>
      </w:r>
    </w:p>
    <w:p>
      <w:pPr>
        <w:spacing w:after="160"/>
      </w:pPr>
      <w:r>
        <w:t xml:space="preserve">The opportunity is to widen that into a second room that lives under the same roof: a creator and image-economy track for women who want to monetize their look, their presence, and their content — through legitimate brand work, not adult content. Same roster, same trust infrastructure, same CRM. Two front doors into one community.</w:t>
      </w:r>
    </w:p>
    <w:p>
      <w:pPr>
        <w:spacing w:after="160"/>
      </w:pPr>
      <w:r>
        <w:rPr>
          <w:b/>
          <w:bCs/>
        </w:rPr>
        <w:t xml:space="preserve">Nightlife stays the cultural engine and the cash cow event-by-event. The creator track becomes the recurring, scalable revenue layer — the kind of income that doesn't depend on a Friday night.</w:t>
      </w:r>
    </w:p>
    <w:p>
      <w:pPr>
        <w:pStyle w:val="Heading1"/>
      </w:pPr>
      <w:r>
        <w:t xml:space="preserve">What Stays the Same</w:t>
      </w:r>
    </w:p>
    <w:p>
      <w:pPr>
        <w:spacing w:after="160"/>
      </w:pPr>
      <w:r>
        <w:t xml:space="preserve">The core architecture doesn't change — this is an addition, not a pivot.</w:t>
      </w:r>
    </w:p>
    <w:p>
      <w:pPr>
        <w:pStyle w:val="ListParagraph"/>
        <w:numPr>
          <w:ilvl w:val="0"/>
          <w:numId w:val="2"/>
        </w:numPr>
        <w:spacing w:after="80"/>
      </w:pPr>
      <w:r>
        <w:rPr>
          <w:b/>
          <w:bCs/>
        </w:rPr>
        <w:t xml:space="preserve">The Circle </w:t>
      </w:r>
      <w:r>
        <w:t xml:space="preserve">— creative women, invite/application only. Now includes a wider range of “creator” talent (models, content creators, brand ambassadors) alongside hosts, DJs, photographers, and stylists.</w:t>
      </w:r>
    </w:p>
    <w:p>
      <w:pPr>
        <w:pStyle w:val="ListParagraph"/>
        <w:numPr>
          <w:ilvl w:val="0"/>
          <w:numId w:val="2"/>
        </w:numPr>
        <w:spacing w:after="80"/>
      </w:pPr>
      <w:r>
        <w:rPr>
          <w:b/>
          <w:bCs/>
        </w:rPr>
        <w:t xml:space="preserve">The Network </w:t>
      </w:r>
      <w:r>
        <w:t xml:space="preserve">— brand and venue partners. Now sources both event talent and content/UGC talent from the same roster.</w:t>
      </w:r>
    </w:p>
    <w:p>
      <w:pPr>
        <w:pStyle w:val="ListParagraph"/>
        <w:numPr>
          <w:ilvl w:val="0"/>
          <w:numId w:val="2"/>
        </w:numPr>
        <w:spacing w:after="80"/>
      </w:pPr>
      <w:r>
        <w:rPr>
          <w:b/>
          <w:bCs/>
        </w:rPr>
        <w:t xml:space="preserve">The Room </w:t>
      </w:r>
      <w:r>
        <w:t xml:space="preserve">— paying guest memberships. Unchanged.</w:t>
      </w:r>
    </w:p>
    <w:p>
      <w:pPr>
        <w:pStyle w:val="ListParagraph"/>
        <w:numPr>
          <w:ilvl w:val="0"/>
          <w:numId w:val="2"/>
        </w:numPr>
        <w:spacing w:after="80"/>
      </w:pPr>
      <w:r>
        <w:rPr>
          <w:b/>
          <w:bCs/>
        </w:rPr>
        <w:t xml:space="preserve">Trust architecture </w:t>
      </w:r>
      <w:r>
        <w:t xml:space="preserve">— contracts, on-time pay, protections. This becomes even more important as members start doing paid brand deals and content work, where exploitation risk is real and ATCHÉ's whole pitch is “we protect you.”</w:t>
      </w:r>
    </w:p>
    <w:p>
      <w:pPr>
        <w:pStyle w:val="ListParagraph"/>
        <w:numPr>
          <w:ilvl w:val="0"/>
          <w:numId w:val="2"/>
        </w:numPr>
        <w:spacing w:after="80"/>
      </w:pPr>
      <w:r>
        <w:rPr>
          <w:b/>
          <w:bCs/>
        </w:rPr>
        <w:t xml:space="preserve">DC / HBCU launch strategy </w:t>
      </w:r>
      <w:r>
        <w:t xml:space="preserve">— unchanged. The creator track is recruited from the same network, just with a wider net (added: models, influencers, anyone building a personal brand).</w:t>
      </w:r>
    </w:p>
    <w:p>
      <w:pPr>
        <w:pStyle w:val="Heading1"/>
      </w:pPr>
      <w:r>
        <w:t xml:space="preserve">New Vertical: Creator &amp; Brand Services</w:t>
      </w:r>
    </w:p>
    <w:p>
      <w:pPr>
        <w:spacing w:after="160"/>
      </w:pPr>
      <w:r>
        <w:t xml:space="preserve">This is the addition. A set of services that connect ATCHÉ members to legitimate paid opportunities tied to their image and content — and a set of services ATCHÉ sells directly to members to help them build that image.</w:t>
      </w:r>
    </w:p>
    <w:p>
      <w:pPr>
        <w:pStyle w:val="Heading2"/>
      </w:pPr>
      <w:r>
        <w:t xml:space="preserve">A. UGC (User-Generated Content) Pipeline</w:t>
      </w:r>
    </w:p>
    <w:p>
      <w:pPr>
        <w:spacing w:after="160"/>
      </w:pPr>
      <w:r>
        <w:t xml:space="preserve">Brands — beauty, fashion, fitness, food, local DC businesses — pay $100-500 per short video of a real person using or reviewing their product. No large following required. This is one of the fastest-growing corners of the creator economy and almost nobody in DC's nightlife/talent space is positioned to supply it.</w:t>
      </w:r>
    </w:p>
    <w:p>
      <w:pPr>
        <w:pStyle w:val="ListParagraph"/>
        <w:numPr>
          <w:ilvl w:val="0"/>
          <w:numId w:val="2"/>
        </w:numPr>
        <w:spacing w:after="80"/>
      </w:pPr>
      <w:r>
        <w:t xml:space="preserve">ATCHÉ curates a roster of camera-ready members and matches them to brand briefs.</w:t>
      </w:r>
    </w:p>
    <w:p>
      <w:pPr>
        <w:pStyle w:val="ListParagraph"/>
        <w:numPr>
          <w:ilvl w:val="0"/>
          <w:numId w:val="2"/>
        </w:numPr>
        <w:spacing w:after="80"/>
      </w:pPr>
      <w:r>
        <w:t xml:space="preserve">ATCHÉ takes a booking fee or percentage, same model as event booking fees.</w:t>
      </w:r>
    </w:p>
    <w:p>
      <w:pPr>
        <w:pStyle w:val="ListParagraph"/>
        <w:numPr>
          <w:ilvl w:val="0"/>
          <w:numId w:val="2"/>
        </w:numPr>
        <w:spacing w:after="80"/>
      </w:pPr>
      <w:r>
        <w:t xml:space="preserve">Low overhead — members shoot content themselves or at group content days (see below).</w:t>
      </w:r>
    </w:p>
    <w:p>
      <w:pPr>
        <w:pStyle w:val="Heading2"/>
      </w:pPr>
      <w:r>
        <w:t xml:space="preserve">B. Brand Ambassador Programs</w:t>
      </w:r>
    </w:p>
    <w:p>
      <w:pPr>
        <w:spacing w:after="160"/>
      </w:pPr>
      <w:r>
        <w:t xml:space="preserve">Ongoing relationships where a member promotes a product (skincare, fashion, fitness, beverage brands doing influencer marketing) for product + payment. ATCHÉ negotiates and manages these relationships — the same skill set already being built for venue partnerships, pointed at brands instead.</w:t>
      </w:r>
    </w:p>
    <w:p>
      <w:pPr>
        <w:pStyle w:val="Heading2"/>
      </w:pPr>
      <w:r>
        <w:t xml:space="preserve">C. Brand Activations &amp; Local Commercial Work</w:t>
      </w:r>
    </w:p>
    <w:p>
      <w:pPr>
        <w:spacing w:after="160"/>
      </w:pPr>
      <w:r>
        <w:t xml:space="preserve">Pop-ups, store openings, product launches, and local commercial/print modeling. “Curated roster of culturally-connected, HBCU-adjacent DC women” is a real niche brands actively want for authenticity. Daytime work, fully legitimate, pays well.</w:t>
      </w:r>
    </w:p>
    <w:p>
      <w:pPr>
        <w:pStyle w:val="Heading2"/>
      </w:pPr>
      <w:r>
        <w:t xml:space="preserve">D. Content Days</w:t>
      </w:r>
    </w:p>
    <w:p>
      <w:pPr>
        <w:spacing w:after="160"/>
      </w:pPr>
      <w:r>
        <w:t xml:space="preserve">Recurring group shoots with a partner photographer/videographer. Members get professional portfolio and social content. Structured either as a membership perk (drives Circle applications) or a discounted group rate (small revenue line + deepens the photographer partnership).</w:t>
      </w:r>
    </w:p>
    <w:p>
      <w:pPr>
        <w:pStyle w:val="Heading2"/>
      </w:pPr>
      <w:r>
        <w:t xml:space="preserve">E. Personal Brand &amp; Image Consulting</w:t>
      </w:r>
    </w:p>
    <w:p>
      <w:pPr>
        <w:spacing w:after="160"/>
      </w:pPr>
      <w:r>
        <w:t xml:space="preserve">A direct-to-member paid service: styling, photography direction, social strategy, content planning. This flips the revenue direction — instead of only monetizing members to brands, ATCHÉ sells development services to members. Useful both as revenue and as a quality lever (better content from members = better brand deals = more revenue on the other side).</w:t>
      </w:r>
    </w:p>
    <w:p>
      <w:pPr>
        <w:pStyle w:val="Heading1"/>
      </w:pPr>
      <w:r>
        <w:t xml:space="preserve">Updated Revenue Model</w:t>
      </w:r>
    </w:p>
    <w:p>
      <w:pPr>
        <w:spacing w:after="160"/>
      </w:pPr>
      <w:r>
        <w:t xml:space="preserve">New streams (rows 3, 7, 8) layer onto the existing five. Nothing existing is removed.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0"/>
        <w:gridCol w:w="4200"/>
        <w:gridCol w:w="2700"/>
        <w:gridCol w:w="2200"/>
      </w:tblGrid>
      <w:tr>
        <w:trPr>
          <w:tblHeader/>
        </w:trPr>
        <w:tc>
          <w:tcPr>
            <w:tcW w:type="dxa" w:w="620"/>
            <w:tcBorders>
              <w:top w:val="single" w:color="DDDDDD" w:sz="1"/>
              <w:left w:val="single" w:color="DDDDDD" w:sz="1"/>
              <w:bottom w:val="single" w:color="DDDDDD" w:sz="1"/>
              <w:right w:val="single" w:color="DDDDDD" w:sz="1"/>
            </w:tcBorders>
            <w:shd w:fill="F4ECDC" w:val="clear"/>
            <w:tcMar>
              <w:top w:type="dxa" w:w="100"/>
              <w:left w:type="dxa" w:w="140"/>
              <w:bottom w:type="dxa" w:w="100"/>
              <w:right w:type="dxa" w:w="140"/>
            </w:tcMar>
            <w:vAlign w:val="center"/>
          </w:tcPr>
          <w:p>
            <w:r>
              <w:rPr>
                <w:b/>
                <w:bCs/>
                <w:sz w:val="20"/>
                <w:szCs w:val="20"/>
              </w:rPr>
              <w:t xml:space="preserve">#</w:t>
            </w:r>
          </w:p>
        </w:tc>
        <w:tc>
          <w:tcPr>
            <w:tcW w:type="dxa" w:w="4200"/>
            <w:tcBorders>
              <w:top w:val="single" w:color="DDDDDD" w:sz="1"/>
              <w:left w:val="single" w:color="DDDDDD" w:sz="1"/>
              <w:bottom w:val="single" w:color="DDDDDD" w:sz="1"/>
              <w:right w:val="single" w:color="DDDDDD" w:sz="1"/>
            </w:tcBorders>
            <w:shd w:fill="F4ECDC" w:val="clear"/>
            <w:tcMar>
              <w:top w:type="dxa" w:w="100"/>
              <w:left w:type="dxa" w:w="140"/>
              <w:bottom w:type="dxa" w:w="100"/>
              <w:right w:type="dxa" w:w="140"/>
            </w:tcMar>
            <w:vAlign w:val="center"/>
          </w:tcPr>
          <w:p>
            <w:r>
              <w:rPr>
                <w:b/>
                <w:bCs/>
                <w:sz w:val="20"/>
                <w:szCs w:val="20"/>
              </w:rPr>
              <w:t xml:space="preserve">Revenue Stream</w:t>
            </w:r>
          </w:p>
        </w:tc>
        <w:tc>
          <w:tcPr>
            <w:tcW w:type="dxa" w:w="2700"/>
            <w:tcBorders>
              <w:top w:val="single" w:color="DDDDDD" w:sz="1"/>
              <w:left w:val="single" w:color="DDDDDD" w:sz="1"/>
              <w:bottom w:val="single" w:color="DDDDDD" w:sz="1"/>
              <w:right w:val="single" w:color="DDDDDD" w:sz="1"/>
            </w:tcBorders>
            <w:shd w:fill="F4ECDC" w:val="clear"/>
            <w:tcMar>
              <w:top w:type="dxa" w:w="100"/>
              <w:left w:type="dxa" w:w="140"/>
              <w:bottom w:type="dxa" w:w="100"/>
              <w:right w:type="dxa" w:w="140"/>
            </w:tcMar>
            <w:vAlign w:val="center"/>
          </w:tcPr>
          <w:p>
            <w:r>
              <w:rPr>
                <w:b/>
                <w:bCs/>
                <w:sz w:val="20"/>
                <w:szCs w:val="20"/>
              </w:rPr>
              <w:t xml:space="preserve">Mechanism</w:t>
            </w:r>
          </w:p>
        </w:tc>
        <w:tc>
          <w:tcPr>
            <w:tcW w:type="dxa" w:w="2200"/>
            <w:tcBorders>
              <w:top w:val="single" w:color="DDDDDD" w:sz="1"/>
              <w:left w:val="single" w:color="DDDDDD" w:sz="1"/>
              <w:bottom w:val="single" w:color="DDDDDD" w:sz="1"/>
              <w:right w:val="single" w:color="DDDDDD" w:sz="1"/>
            </w:tcBorders>
            <w:shd w:fill="F4ECDC" w:val="clear"/>
            <w:tcMar>
              <w:top w:type="dxa" w:w="100"/>
              <w:left w:type="dxa" w:w="140"/>
              <w:bottom w:type="dxa" w:w="100"/>
              <w:right w:type="dxa" w:w="140"/>
            </w:tcMar>
            <w:vAlign w:val="center"/>
          </w:tcPr>
          <w:p>
            <w:r>
              <w:rPr>
                <w:b/>
                <w:bCs/>
                <w:sz w:val="20"/>
                <w:szCs w:val="20"/>
              </w:rPr>
              <w:t xml:space="preserve">Status</w:t>
            </w:r>
          </w:p>
        </w:tc>
      </w:tr>
      <w:tr>
        <w:tc>
          <w:tcPr>
            <w:tcW w:type="dxa" w:w="6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1</w:t>
            </w:r>
          </w:p>
        </w:tc>
        <w:tc>
          <w:tcPr>
            <w:tcW w:type="dxa" w:w="4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Events — table packages &amp; ticket sales</w:t>
            </w:r>
          </w:p>
        </w:tc>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Direct sales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Existing — primary engine</w:t>
            </w:r>
          </w:p>
        </w:tc>
      </w:tr>
      <w:tr>
        <w:tc>
          <w:tcPr>
            <w:tcW w:type="dxa" w:w="6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2</w:t>
            </w:r>
          </w:p>
        </w:tc>
        <w:tc>
          <w:tcPr>
            <w:tcW w:type="dxa" w:w="4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Brand activations &amp; sponsorships</w:t>
            </w:r>
          </w:p>
        </w:tc>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$5k–$25k deals, 15–20% cut</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Existing — expand to content campaigns</w:t>
            </w:r>
          </w:p>
        </w:tc>
      </w:tr>
      <w:tr>
        <w:tc>
          <w:tcPr>
            <w:tcW w:type="dxa" w:w="6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3</w:t>
            </w:r>
          </w:p>
        </w:tc>
        <w:tc>
          <w:tcPr>
            <w:tcW w:type="dxa" w:w="4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UGC pipeline &amp; ambassador matching</w:t>
            </w:r>
          </w:p>
        </w:tc>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Booking fee / % per deal</w:t>
            </w:r>
          </w:p>
        </w:tc>
        <w:tc>
          <w:tcPr>
            <w:tcW w:type="dxa" w:w="2200"/>
            <w:tcBorders>
              <w:top w:val="single" w:color="DDDDDD" w:sz="1"/>
              <w:left w:val="single" w:color="DDDDDD" w:sz="1"/>
              <w:bottom w:val="single" w:color="DDDDDD" w:sz="1"/>
              <w:right w:val="single" w:color="DDDDDD" w:sz="1"/>
            </w:tcBorders>
            <w:shd w:fill="F4ECDC" w:val="clear"/>
            <w:tcMar>
              <w:top w:type="dxa" w:w="100"/>
              <w:left w:type="dxa" w:w="140"/>
              <w:bottom w:type="dxa" w:w="100"/>
              <w:right w:type="dxa" w:w="140"/>
            </w:tcMar>
            <w:vAlign w:val="center"/>
          </w:tcPr>
          <w:p>
            <w:r>
              <w:rPr>
                <w:b/>
                <w:bCs/>
                <w:sz w:val="20"/>
                <w:szCs w:val="20"/>
              </w:rPr>
              <w:t xml:space="preserve">New</w:t>
            </w:r>
          </w:p>
        </w:tc>
      </w:tr>
      <w:tr>
        <w:tc>
          <w:tcPr>
            <w:tcW w:type="dxa" w:w="6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4</w:t>
            </w:r>
          </w:p>
        </w:tc>
        <w:tc>
          <w:tcPr>
            <w:tcW w:type="dxa" w:w="4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Premium guest memberships (The Room)</w:t>
            </w:r>
          </w:p>
        </w:tc>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$100–200/month</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Existing</w:t>
            </w:r>
          </w:p>
        </w:tc>
      </w:tr>
      <w:tr>
        <w:tc>
          <w:tcPr>
            <w:tcW w:type="dxa" w:w="6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5</w:t>
            </w:r>
          </w:p>
        </w:tc>
        <w:tc>
          <w:tcPr>
            <w:tcW w:type="dxa" w:w="4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Booking fees</w:t>
            </w:r>
          </w:p>
        </w:tc>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15–20% on event bookings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Existing — trust layer</w:t>
            </w:r>
          </w:p>
        </w:tc>
      </w:tr>
      <w:tr>
        <w:tc>
          <w:tcPr>
            <w:tcW w:type="dxa" w:w="6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6</w:t>
            </w:r>
          </w:p>
        </w:tc>
        <w:tc>
          <w:tcPr>
            <w:tcW w:type="dxa" w:w="4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Partner subscriptions</w:t>
            </w:r>
          </w:p>
        </w:tc>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$150–500/month, venues &amp; brands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Existing</w:t>
            </w:r>
          </w:p>
        </w:tc>
      </w:tr>
      <w:tr>
        <w:tc>
          <w:tcPr>
            <w:tcW w:type="dxa" w:w="6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7</w:t>
            </w:r>
          </w:p>
        </w:tc>
        <w:tc>
          <w:tcPr>
            <w:tcW w:type="dxa" w:w="4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Content days</w:t>
            </w:r>
          </w:p>
        </w:tc>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Membership perk or group rate</w:t>
            </w:r>
          </w:p>
        </w:tc>
        <w:tc>
          <w:tcPr>
            <w:tcW w:type="dxa" w:w="2200"/>
            <w:tcBorders>
              <w:top w:val="single" w:color="DDDDDD" w:sz="1"/>
              <w:left w:val="single" w:color="DDDDDD" w:sz="1"/>
              <w:bottom w:val="single" w:color="DDDDDD" w:sz="1"/>
              <w:right w:val="single" w:color="DDDDDD" w:sz="1"/>
            </w:tcBorders>
            <w:shd w:fill="F4ECDC" w:val="clear"/>
            <w:tcMar>
              <w:top w:type="dxa" w:w="100"/>
              <w:left w:type="dxa" w:w="140"/>
              <w:bottom w:type="dxa" w:w="100"/>
              <w:right w:type="dxa" w:w="140"/>
            </w:tcMar>
            <w:vAlign w:val="center"/>
          </w:tcPr>
          <w:p>
            <w:r>
              <w:rPr>
                <w:b/>
                <w:bCs/>
                <w:sz w:val="20"/>
                <w:szCs w:val="20"/>
              </w:rPr>
              <w:t xml:space="preserve">New</w:t>
            </w:r>
          </w:p>
        </w:tc>
      </w:tr>
      <w:tr>
        <w:tc>
          <w:tcPr>
            <w:tcW w:type="dxa" w:w="6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8</w:t>
            </w:r>
          </w:p>
        </w:tc>
        <w:tc>
          <w:tcPr>
            <w:tcW w:type="dxa" w:w="4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Personal brand / image consulting</w:t>
            </w:r>
          </w:p>
        </w:tc>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r>
              <w:rPr>
                <w:b w:val="false"/>
                <w:bCs w:val="false"/>
                <w:sz w:val="20"/>
                <w:szCs w:val="20"/>
              </w:rPr>
              <w:t xml:space="preserve">Paid sessions or packages</w:t>
            </w:r>
          </w:p>
        </w:tc>
        <w:tc>
          <w:tcPr>
            <w:tcW w:type="dxa" w:w="2200"/>
            <w:tcBorders>
              <w:top w:val="single" w:color="DDDDDD" w:sz="1"/>
              <w:left w:val="single" w:color="DDDDDD" w:sz="1"/>
              <w:bottom w:val="single" w:color="DDDDDD" w:sz="1"/>
              <w:right w:val="single" w:color="DDDDDD" w:sz="1"/>
            </w:tcBorders>
            <w:shd w:fill="F4ECDC" w:val="clear"/>
            <w:tcMar>
              <w:top w:type="dxa" w:w="100"/>
              <w:left w:type="dxa" w:w="140"/>
              <w:bottom w:type="dxa" w:w="100"/>
              <w:right w:type="dxa" w:w="140"/>
            </w:tcMar>
            <w:vAlign w:val="center"/>
          </w:tcPr>
          <w:p>
            <w:r>
              <w:rPr>
                <w:b/>
                <w:bCs/>
                <w:sz w:val="20"/>
                <w:szCs w:val="20"/>
              </w:rPr>
              <w:t xml:space="preserve">New</w:t>
            </w:r>
          </w:p>
        </w:tc>
      </w:tr>
      <w:tr>
        <w:tc>
          <w:tcPr>
            <w:tcW w:type="dxa" w:w="620"/>
          </w:tcPr>
          <w:p>
            <w:r/>
            <w:r>
              <w:rPr>
                <w:b w:val="0"/>
                <w:sz w:val="20"/>
              </w:rPr>
              <w:t>9</w:t>
            </w:r>
          </w:p>
        </w:tc>
        <w:tc>
          <w:tcPr>
            <w:tcW w:type="dxa" w:w="4200"/>
          </w:tcPr>
          <w:p>
            <w:r/>
            <w:r>
              <w:rPr>
                <w:b w:val="0"/>
                <w:sz w:val="20"/>
              </w:rPr>
              <w:t>AI Content &amp; Likeness Licensing</w:t>
            </w:r>
          </w:p>
        </w:tc>
        <w:tc>
          <w:tcPr>
            <w:tcW w:type="dxa" w:w="2700"/>
          </w:tcPr>
          <w:p>
            <w:r/>
            <w:r>
              <w:rPr>
                <w:b w:val="0"/>
                <w:sz w:val="20"/>
              </w:rPr>
              <w:t>Per-use or time-bound royalty fee for licensed use of a member's likeness in AI-generated / AI-enhanced content (brand campaigns + ATCHÉ marketing)</w:t>
            </w:r>
          </w:p>
        </w:tc>
        <w:tc>
          <w:tcPr>
            <w:tcW w:type="dxa" w:w="2200"/>
          </w:tcPr>
          <w:p>
            <w:r/>
            <w:r>
              <w:rPr>
                <w:b w:val="0"/>
                <w:sz w:val="20"/>
              </w:rPr>
              <w:t>New</w:t>
            </w:r>
          </w:p>
        </w:tc>
      </w:tr>
      <w:tr>
        <w:tc>
          <w:tcPr>
            <w:tcW w:type="dxa" w:w="620"/>
          </w:tcPr>
          <w:p>
            <w:r/>
            <w:r>
              <w:rPr>
                <w:b w:val="0"/>
                <w:sz w:val="20"/>
              </w:rPr>
              <w:t>10</w:t>
            </w:r>
          </w:p>
        </w:tc>
        <w:tc>
          <w:tcPr>
            <w:tcW w:type="dxa" w:w="4200"/>
          </w:tcPr>
          <w:p>
            <w:r/>
            <w:r>
              <w:rPr>
                <w:b w:val="0"/>
                <w:sz w:val="20"/>
              </w:rPr>
              <w:t>Promoter Table Sales (“Elite Experience”)</w:t>
            </w:r>
          </w:p>
        </w:tc>
        <w:tc>
          <w:tcPr>
            <w:tcW w:type="dxa" w:w="2700"/>
          </w:tcPr>
          <w:p>
            <w:r/>
            <w:r>
              <w:rPr>
                <w:b w:val="0"/>
                <w:sz w:val="20"/>
              </w:rPr>
              <w:t>Commission on table/bottle spend sold at partner venues' existing nights — no event production required. Sold direct via the ATCHÉ website.</w:t>
            </w:r>
          </w:p>
        </w:tc>
        <w:tc>
          <w:tcPr>
            <w:tcW w:type="dxa" w:w="2200"/>
          </w:tcPr>
          <w:p>
            <w:r/>
            <w:r>
              <w:rPr>
                <w:b w:val="0"/>
                <w:sz w:val="20"/>
              </w:rPr>
              <w:t>New</w:t>
            </w:r>
          </w:p>
        </w:tc>
      </w:tr>
    </w:tbl>
    <w:p>
      <w:pPr>
        <w:spacing w:before="200"/>
      </w:pPr>
    </w:p>
    <w:p>
      <w:pPr>
        <w:pStyle w:val="Heading1"/>
      </w:pPr>
      <w:r>
        <w:t xml:space="preserve">Who You're Now Recruiting</w:t>
      </w:r>
    </w:p>
    <w:p>
      <w:pPr>
        <w:spacing w:after="160"/>
      </w:pPr>
      <w:r>
        <w:t xml:space="preserve">In addition to the existing Circle profile (photographers, hosts, DJs, stylists, content creators), the creator track widens the net to:</w:t>
      </w:r>
    </w:p>
    <w:p>
      <w:pPr>
        <w:pStyle w:val="ListParagraph"/>
        <w:numPr>
          <w:ilvl w:val="0"/>
          <w:numId w:val="2"/>
        </w:numPr>
        <w:spacing w:after="80"/>
      </w:pPr>
      <w:r>
        <w:t xml:space="preserve">Models — commercial, fashion, lifestyle</w:t>
      </w:r>
    </w:p>
    <w:p>
      <w:pPr>
        <w:pStyle w:val="ListParagraph"/>
        <w:numPr>
          <w:ilvl w:val="0"/>
          <w:numId w:val="2"/>
        </w:numPr>
        <w:spacing w:after="80"/>
      </w:pPr>
      <w:r>
        <w:t xml:space="preserve">Content creators / influencers (any size following — UGC doesn't require reach)</w:t>
      </w:r>
    </w:p>
    <w:p>
      <w:pPr>
        <w:pStyle w:val="ListParagraph"/>
        <w:numPr>
          <w:ilvl w:val="0"/>
          <w:numId w:val="2"/>
        </w:numPr>
        <w:spacing w:after="80"/>
      </w:pPr>
      <w:r>
        <w:t xml:space="preserve">Women already getting brand gifting or small deals on their own, with no one negotiating or protecting them</w:t>
      </w:r>
    </w:p>
    <w:p>
      <w:pPr>
        <w:pStyle w:val="ListParagraph"/>
        <w:numPr>
          <w:ilvl w:val="0"/>
          <w:numId w:val="2"/>
        </w:numPr>
        <w:spacing w:after="80"/>
      </w:pPr>
      <w:r>
        <w:t xml:space="preserve">Women who've considered OnlyFans-style work but want a legitimate alternative that monetizes their image without it</w:t>
      </w:r>
    </w:p>
    <w:p>
      <w:pPr>
        <w:spacing w:after="160"/>
      </w:pPr>
      <w:r>
        <w:t xml:space="preserve">This is a strictly larger pool than the current nightlife-only roster, and it's a pool that's actively searching for exactly this kind of community right now.</w:t>
      </w:r>
    </w:p>
    <w:p>
      <w:r>
        <w:br w:type="page"/>
      </w:r>
    </w:p>
    <w:p>
      <w:pPr>
        <w:pStyle w:val="Heading1"/>
      </w:pPr>
      <w:r>
        <w:t xml:space="preserve">Brand Architecture: Two Front Doors</w:t>
      </w:r>
    </w:p>
    <w:p>
      <w:pPr>
        <w:spacing w:after="160"/>
      </w:pPr>
      <w:r>
        <w:t xml:space="preserve">The risk in expanding is diluting what ATCHÉ already represents to HBCU partners, venues, and the existing roster — all of whom bought into a specific nightlife / cultural-economy positioning. The fix is not to change ATCHÉ's main identity, but to give the creator track its own front door that feeds the same backend.</w:t>
      </w:r>
    </w:p>
    <w:p>
      <w:pPr>
        <w:pStyle w:val="ListParagraph"/>
        <w:numPr>
          <w:ilvl w:val="0"/>
          <w:numId w:val="2"/>
        </w:numPr>
        <w:spacing w:after="80"/>
      </w:pPr>
      <w:r>
        <w:rPr>
          <w:b/>
          <w:bCs/>
        </w:rPr>
        <w:t xml:space="preserve">Door 1 — ATCHÉ (existing): </w:t>
      </w:r>
      <w:r>
        <w:t xml:space="preserve">Public-facing brand stays exactly as positioned — nightlife, events, cultural economy, HBCU-adjacent. No change to messaging, IG, or partner-facing materials.</w:t>
      </w:r>
    </w:p>
    <w:p>
      <w:pPr>
        <w:pStyle w:val="ListParagraph"/>
        <w:numPr>
          <w:ilvl w:val="0"/>
          <w:numId w:val="2"/>
        </w:numPr>
        <w:spacing w:after="80"/>
      </w:pPr>
      <w:r>
        <w:rPr>
          <w:b/>
          <w:bCs/>
        </w:rPr>
        <w:t xml:space="preserve">Door 2 — Creator track (new): </w:t>
      </w:r>
      <w:r>
        <w:t xml:space="preserve">A more visually-forward sub-brand or page (e.g. “ATCHÉ Studio” or similar working name) — its own Instagram and intake form, aesthetic leans into glamour/content-creator visual language. Cross-promoted privately to the existing roster, not blasted on the main brand.</w:t>
      </w:r>
    </w:p>
    <w:p>
      <w:pPr>
        <w:pStyle w:val="ListParagraph"/>
        <w:numPr>
          <w:ilvl w:val="0"/>
          <w:numId w:val="2"/>
        </w:numPr>
        <w:spacing w:after="80"/>
      </w:pPr>
      <w:r>
        <w:rPr>
          <w:b/>
          <w:bCs/>
        </w:rPr>
        <w:t xml:space="preserve">Shared backend: </w:t>
      </w:r>
      <w:r>
        <w:t xml:space="preserve">Same Circle membership, same CRM/roster, same trust architecture and contracts. A member can be in nightlife, the creator track, or both.</w:t>
      </w:r>
    </w:p>
    <w:p>
      <w:pPr>
        <w:spacing w:after="160"/>
      </w:pPr>
      <w:r>
        <w:t xml:space="preserve">This lets ATCHÉ attract women specifically interested in monetizing their image without that signal showing up on the main brand that venues, HBCU partners, and family/community members see.</w:t>
      </w:r>
    </w:p>
    <w:p>
      <w:pPr>
        <w:pStyle w:val="Heading1"/>
      </w:pPr>
      <w:r>
        <w:t xml:space="preserve">What Needs to Be Built</w:t>
      </w:r>
    </w:p>
    <w:p>
      <w:pPr>
        <w:pStyle w:val="ListParagraph"/>
        <w:numPr>
          <w:ilvl w:val="0"/>
          <w:numId w:val="2"/>
        </w:numPr>
        <w:spacing w:after="80"/>
      </w:pPr>
      <w:r>
        <w:rPr>
          <w:b/>
          <w:bCs/>
        </w:rPr>
        <w:t xml:space="preserve">Partner photographer/videographer — </w:t>
      </w:r>
      <w:r>
        <w:t xml:space="preserve">retained or revenue-shared, anchors content days and UGC production.</w:t>
      </w:r>
    </w:p>
    <w:p>
      <w:pPr>
        <w:pStyle w:val="ListParagraph"/>
        <w:numPr>
          <w:ilvl w:val="0"/>
          <w:numId w:val="2"/>
        </w:numPr>
        <w:spacing w:after="80"/>
      </w:pPr>
      <w:r>
        <w:rPr>
          <w:b/>
          <w:bCs/>
        </w:rPr>
        <w:t xml:space="preserve">Brand-deal pipeline — </w:t>
      </w:r>
      <w:r>
        <w:t xml:space="preserve">relationships with local DC brands + signup on UGC marketplaces (Billo, JoinBrands, Trend) to source briefs for the roster.</w:t>
      </w:r>
    </w:p>
    <w:p>
      <w:pPr>
        <w:pStyle w:val="ListParagraph"/>
        <w:numPr>
          <w:ilvl w:val="0"/>
          <w:numId w:val="2"/>
        </w:numPr>
        <w:spacing w:after="80"/>
      </w:pPr>
      <w:r>
        <w:rPr>
          <w:b/>
          <w:bCs/>
        </w:rPr>
        <w:t xml:space="preserve">Contract templates — </w:t>
      </w:r>
      <w:r>
        <w:t xml:space="preserve">UGC/ambassador agreements (usage rights, payment terms, exclusivity), extending the existing trust-architecture work.</w:t>
      </w:r>
    </w:p>
    <w:p>
      <w:pPr>
        <w:pStyle w:val="ListParagraph"/>
        <w:numPr>
          <w:ilvl w:val="0"/>
          <w:numId w:val="2"/>
        </w:numPr>
        <w:spacing w:after="80"/>
      </w:pPr>
      <w:r>
        <w:rPr>
          <w:b/>
          <w:bCs/>
        </w:rPr>
        <w:t xml:space="preserve">Second front door — </w:t>
      </w:r>
      <w:r>
        <w:t xml:space="preserve">sub-brand name, Instagram, and a short intake form/landing page distinct from the main ATCHÉ presence.</w:t>
      </w:r>
    </w:p>
    <w:p>
      <w:pPr>
        <w:pStyle w:val="ListParagraph"/>
        <w:numPr>
          <w:ilvl w:val="0"/>
          <w:numId w:val="2"/>
        </w:numPr>
        <w:spacing w:after="80"/>
      </w:pPr>
      <w:r>
        <w:rPr>
          <w:b/>
          <w:bCs/>
        </w:rPr>
        <w:t xml:space="preserve">Updated CRM tags — </w:t>
      </w:r>
      <w:r>
        <w:t xml:space="preserve">flag members by track (nightlife / creator / both) and by service interest (UGC, ambassador, content days, consulting) so matching is fast.</w:t>
      </w:r>
    </w:p>
    <w:p>
      <w:pPr>
        <w:pStyle w:val="Heading1"/>
      </w:pPr>
      <w:r>
        <w:t xml:space="preserve">Suggested Phasing</w:t>
      </w:r>
    </w:p>
    <w:p>
      <w:pPr>
        <w:pStyle w:val="ListParagraph"/>
        <w:numPr>
          <w:ilvl w:val="0"/>
          <w:numId w:val="2"/>
        </w:numPr>
        <w:spacing w:after="80"/>
      </w:pPr>
      <w:r>
        <w:rPr>
          <w:b/>
          <w:bCs/>
        </w:rPr>
        <w:t xml:space="preserve">Phase 1 — Quiet pilot: </w:t>
      </w:r>
      <w:r>
        <w:t xml:space="preserve">Pick 5–10 existing Circle members who've expressed interest. Run one content day with a photographer. Source 2–3 UGC briefs and place them. No new branding yet — just prove the pipeline works.</w:t>
      </w:r>
    </w:p>
    <w:p>
      <w:pPr>
        <w:pStyle w:val="ListParagraph"/>
        <w:numPr>
          <w:ilvl w:val="0"/>
          <w:numId w:val="2"/>
        </w:numPr>
        <w:spacing w:after="80"/>
      </w:pPr>
      <w:r>
        <w:rPr>
          <w:b/>
          <w:bCs/>
        </w:rPr>
        <w:t xml:space="preserve">Phase 2 — Second front door: </w:t>
      </w:r>
      <w:r>
        <w:t xml:space="preserve">Once the pipeline is proven, stand up the creator-track sub-brand (name, IG, intake form). Recruit beyond the existing roster.</w:t>
      </w:r>
    </w:p>
    <w:p>
      <w:pPr>
        <w:pStyle w:val="ListParagraph"/>
        <w:numPr>
          <w:ilvl w:val="0"/>
          <w:numId w:val="2"/>
        </w:numPr>
        <w:spacing w:after="80"/>
      </w:pPr>
      <w:r>
        <w:rPr>
          <w:b/>
          <w:bCs/>
        </w:rPr>
        <w:t xml:space="preserve">Phase 3 — Scale &amp; systematize: </w:t>
      </w:r>
      <w:r>
        <w:t xml:space="preserve">Formal contract templates, recurring content days, ongoing brand-ambassador relationships, image-consulting offered as a paid product.</w:t>
      </w:r>
    </w:p>
    <w:p>
      <w:pPr>
        <w:spacing w:before="280"/>
      </w:pPr>
      <w:r>
        <w:rPr>
          <w:i/>
          <w:iCs/>
          <w:color w:val="595959"/>
          <w:sz w:val="20"/>
          <w:szCs w:val="20"/>
        </w:rPr>
        <w:t xml:space="preserve">This is a working draft for discussion — naming, exact splits, and which members to approach first are open questions.</w:t>
      </w:r>
    </w:p>
    <w:p>
      <w:r>
        <w:br w:type="page"/>
      </w:r>
    </w:p>
    <w:p>
      <w:pPr>
        <w:pStyle w:val="Heading1"/>
      </w:pPr>
      <w:r>
        <w:t>Addendum (June 2026): AI-Enhanced Content &amp; Compensation Philosophy</w:t>
      </w:r>
    </w:p>
    <w:p>
      <w:r>
        <w:t>This addendum responds to two open questions from internal discussion: how AI content tools change ATCHÉ's production model and economics, and how ATCHÉ should think about paying members as the Circle and Studio tracks scale recruitment.</w:t>
      </w:r>
    </w:p>
    <w:p>
      <w:pPr>
        <w:pStyle w:val="Heading2"/>
      </w:pPr>
      <w:r>
        <w:t>AI-Enhanced Content as a Production &amp; Revenue Lever</w:t>
      </w:r>
    </w:p>
    <w:p>
      <w:r>
        <w:t>AI image and video tools (e.g., Higgsfield) let ATCHÉ produce polished, campaign-ready content featuring a member's likeness without requiring her to physically attend every shoot. This changes the economics in two ways: it lowers production cost and turnaround time for brand deals (more deliverables per creator per month), and it creates a genuinely new revenue line — members can be paid for licensed use of their likeness in AI-derived content, separate from any in-person appearance fee.</w:t>
      </w:r>
    </w:p>
    <w:p>
      <w:pPr>
        <w:pStyle w:val="ListParagraph"/>
        <w:numPr>
          <w:ilvl w:val="0"/>
          <w:numId w:val="2"/>
        </w:numPr>
        <w:spacing w:after="80"/>
      </w:pPr>
      <w:r>
        <w:rPr>
          <w:b/>
        </w:rPr>
        <w:t xml:space="preserve">New revenue stream (Row 9, above): AI Content &amp; Likeness Licensing — </w:t>
      </w:r>
      <w:r>
        <w:rPr>
          <w:b w:val="0"/>
        </w:rPr>
        <w:t>a per-use or time-bound royalty fee, paid in addition to — never instead of — any appearance fee for the original photos or footage used as reference.</w:t>
      </w:r>
    </w:p>
    <w:p>
      <w:pPr>
        <w:pStyle w:val="ListParagraph"/>
        <w:numPr>
          <w:ilvl w:val="0"/>
          <w:numId w:val="2"/>
        </w:numPr>
        <w:spacing w:after="80"/>
      </w:pPr>
      <w:r>
        <w:rPr>
          <w:b/>
        </w:rPr>
        <w:t xml:space="preserve">Governed by a dedicated AI Likeness License addendum </w:t>
      </w:r>
      <w:r>
        <w:rPr>
          <w:b w:val="0"/>
        </w:rPr>
        <w:t>(companion contract document, see ATCHÉ Studio Contract Templates) — per-use creator approval, revocable consent, and required AI-content disclosure.</w:t>
      </w:r>
    </w:p>
    <w:p>
      <w:pPr>
        <w:pStyle w:val="ListParagraph"/>
        <w:numPr>
          <w:ilvl w:val="0"/>
          <w:numId w:val="2"/>
        </w:numPr>
        <w:spacing w:after="80"/>
      </w:pPr>
      <w:r>
        <w:rPr>
          <w:b/>
        </w:rPr>
        <w:t xml:space="preserve">Strategic upside: </w:t>
      </w:r>
      <w:r>
        <w:rPr>
          <w:b w:val="0"/>
        </w:rPr>
        <w:t>a single real photoshoot can generate income more than once — the original usage fee, plus a licensing fee each time AI-derived content is produced from it. This is recurring income from work a member has already done.</w:t>
      </w:r>
    </w:p>
    <w:p>
      <w:r>
        <w:t>This should be framed to members as additional, optional income on top of work they're already paid for — not a substitute for being paid for their time and presence.</w:t>
      </w:r>
    </w:p>
    <w:p>
      <w:pPr>
        <w:pStyle w:val="Heading2"/>
      </w:pPr>
      <w:r>
        <w:t>Compensation Philosophy</w:t>
      </w:r>
    </w:p>
    <w:p>
      <w:r>
        <w:t>As ATCHÉ recruits more aggressively for the Circle and Studio tracks, it will be tempting — especially while cash is tight — to offer “value” (access, status, education, community) in place of money. That tradeoff should not be the default.</w:t>
      </w:r>
    </w:p>
    <w:p>
      <w:pPr>
        <w:pStyle w:val="ListParagraph"/>
        <w:numPr>
          <w:ilvl w:val="0"/>
          <w:numId w:val="2"/>
        </w:numPr>
        <w:spacing w:after="80"/>
      </w:pPr>
      <w:r>
        <w:rPr>
          <w:b/>
        </w:rPr>
        <w:t xml:space="preserve">Pay first, perks second. </w:t>
      </w:r>
      <w:r>
        <w:rPr>
          <w:b w:val="0"/>
        </w:rPr>
        <w:t>Members are paid fairly for their time, content, and likeness. Access, mentorship, and community are real value-adds that strengthen the offer — but they sit on top of fair payment, not instead of it.</w:t>
      </w:r>
    </w:p>
    <w:p>
      <w:pPr>
        <w:pStyle w:val="ListParagraph"/>
        <w:numPr>
          <w:ilvl w:val="0"/>
          <w:numId w:val="2"/>
        </w:numPr>
        <w:spacing w:after="80"/>
      </w:pPr>
      <w:r>
        <w:rPr>
          <w:b/>
        </w:rPr>
        <w:t xml:space="preserve">Why this matters. </w:t>
      </w:r>
      <w:r>
        <w:rPr>
          <w:b w:val="0"/>
        </w:rPr>
        <w:t>ATCHÉ's core differentiator is being “the first agency that has ever put their interests first” (see the Spicy Water pitch). “Exposure and access instead of pay” is the exact dynamic ATCHÉ exists to fix — asking members to accept it would undercut the brand's central promise and its long-term trust with the Circle.</w:t>
      </w:r>
    </w:p>
    <w:p>
      <w:pPr>
        <w:pStyle w:val="ListParagraph"/>
        <w:numPr>
          <w:ilvl w:val="0"/>
          <w:numId w:val="2"/>
        </w:numPr>
        <w:spacing w:after="80"/>
      </w:pPr>
      <w:r>
        <w:rPr>
          <w:b/>
        </w:rPr>
        <w:t xml:space="preserve">Where “value” fits. </w:t>
      </w:r>
      <w:r>
        <w:rPr>
          <w:b w:val="0"/>
        </w:rPr>
        <w:t>Education (mentorship, courses), status (Circle membership, event access), and community are strong recruitment and retention tools, and can fairly be the primary offer for genuinely optional extras — a free workshop, an invite to a members-only event. They should not substitute for payment on work that generates revenue for ATCHÉ or a brand partner.</w:t>
      </w:r>
    </w:p>
    <w:p>
      <w:pPr>
        <w:pStyle w:val="ListParagraph"/>
        <w:numPr>
          <w:ilvl w:val="0"/>
          <w:numId w:val="2"/>
        </w:numPr>
        <w:spacing w:after="80"/>
      </w:pPr>
      <w:r>
        <w:rPr>
          <w:b/>
        </w:rPr>
        <w:t xml:space="preserve">Benchmark. </w:t>
      </w:r>
      <w:r>
        <w:rPr>
          <w:b w:val="0"/>
        </w:rPr>
        <w:t>A useful reference point is how artist/talent management typically splits fees: a manager/agency commission in the 15–20% range, with the talent receiving the substantial majority — consistent with ATCHÉ's existing booking-fee model. Any new compensation structure, including AI licensing, should be evaluated against this benchmark, not against a model where members are paid mainly in access.</w:t>
      </w:r>
    </w:p>
    <w:p>
      <w:r>
        <w:rPr>
          <w:i/>
        </w:rPr>
        <w:t>This is a working addendum for internal discussion — exact licensing rates and AI-disclosure mechanics are finalized in the companion AI Likeness License addendum.</w:t>
      </w:r>
    </w:p>
    <w:p>
      <w:r>
        <w:br w:type="page"/>
      </w:r>
    </w:p>
    <w:p>
      <w:pPr>
        <w:pStyle w:val="Heading1"/>
      </w:pPr>
      <w:r>
        <w:t>Addendum (June 2026): Promoter Track — “Elite Experience” Table Sales</w:t>
      </w:r>
    </w:p>
    <w:p>
      <w:r>
        <w:t>This addendum develops Row 1 (Events — table packages &amp; ticket sales) into a parallel, lower-overhead track. Instead of producing a full ATCHÉ event, ATCHÉ — and Xavier personally — operates as a promoter: selling curated “Elite Experience” table packages at partner venues on their existing nights. No event production, no door staff, no marketing spend on a whole night — just curation, hosting, and content, sold for a commission. This can launch in parallel with everything else in this document, and it turns the audience-segmentation question raised in internal discussion into a pricing strategy (see below).</w:t>
      </w:r>
    </w:p>
    <w:p>
      <w:pPr>
        <w:pStyle w:val="Heading2"/>
      </w:pPr>
      <w:r>
        <w:t>How It Works</w:t>
      </w:r>
    </w:p>
    <w:p>
      <w:pPr>
        <w:pStyle w:val="ListParagraph"/>
        <w:numPr>
          <w:ilvl w:val="0"/>
          <w:numId w:val="2"/>
        </w:numPr>
        <w:spacing w:after="80"/>
      </w:pPr>
      <w:r>
        <w:rPr>
          <w:b/>
        </w:rPr>
        <w:t xml:space="preserve">Standing arrangement, not a one-off event. </w:t>
      </w:r>
      <w:r>
        <w:rPr>
          <w:b w:val="0"/>
        </w:rPr>
        <w:t>ATCHÉ partners with 1–3 DC venues to sell tables/sections on their regular nights — the venue keeps running its normal night, ATCHÉ brings paying table guests.</w:t>
      </w:r>
    </w:p>
    <w:p>
      <w:pPr>
        <w:pStyle w:val="ListParagraph"/>
        <w:numPr>
          <w:ilvl w:val="0"/>
          <w:numId w:val="2"/>
        </w:numPr>
        <w:spacing w:after="80"/>
      </w:pPr>
      <w:r>
        <w:rPr>
          <w:b/>
        </w:rPr>
        <w:t xml:space="preserve">“Elite Experience” package: </w:t>
      </w:r>
      <w:r>
        <w:rPr>
          <w:b w:val="0"/>
        </w:rPr>
        <w:t>a reserved table or section, bottle service, line-skip / priority entry, a dedicated ATCHÉ host for the night, and on-site content (ATCHÉ Studio shoots the table — ties directly into the Content Days / Studio services described above).</w:t>
      </w:r>
    </w:p>
    <w:p>
      <w:pPr>
        <w:pStyle w:val="ListParagraph"/>
        <w:numPr>
          <w:ilvl w:val="0"/>
          <w:numId w:val="2"/>
        </w:numPr>
        <w:spacing w:after="80"/>
      </w:pPr>
      <w:r>
        <w:rPr>
          <w:b/>
        </w:rPr>
        <w:t xml:space="preserve">ATCHÉ is paid by the venue, not the guest — </w:t>
      </w:r>
      <w:r>
        <w:rPr>
          <w:b w:val="0"/>
        </w:rPr>
        <w:t>a commission on the table/bottle spend, which is the industry-standard structure (guests pay the venue directly for the table; no separate ATCHÉ booking fee, matching how promoters operate everywhere).</w:t>
      </w:r>
    </w:p>
    <w:p>
      <w:pPr>
        <w:pStyle w:val="Heading2"/>
      </w:pPr>
      <w:r>
        <w:t>Commission Benchmarks (Industry Research)</w:t>
      </w:r>
    </w:p>
    <w:p>
      <w:pPr>
        <w:pStyle w:val="ListParagraph"/>
        <w:numPr>
          <w:ilvl w:val="0"/>
          <w:numId w:val="2"/>
        </w:numPr>
        <w:spacing w:after="80"/>
      </w:pPr>
      <w:r>
        <w:rPr>
          <w:b/>
        </w:rPr>
        <w:t xml:space="preserve">Standard promoter commission: </w:t>
      </w:r>
      <w:r>
        <w:rPr>
          <w:b w:val="0"/>
        </w:rPr>
        <w:t>10–20% of table/bottle spend.</w:t>
      </w:r>
    </w:p>
    <w:p>
      <w:pPr>
        <w:pStyle w:val="ListParagraph"/>
        <w:numPr>
          <w:ilvl w:val="0"/>
          <w:numId w:val="2"/>
        </w:numPr>
        <w:spacing w:after="80"/>
      </w:pPr>
      <w:r>
        <w:rPr>
          <w:b/>
        </w:rPr>
        <w:t xml:space="preserve">Sub-promoter (working under an established promoter): </w:t>
      </w:r>
      <w:r>
        <w:rPr>
          <w:b w:val="0"/>
        </w:rPr>
        <w:t>5–10%.</w:t>
      </w:r>
    </w:p>
    <w:p>
      <w:pPr>
        <w:pStyle w:val="ListParagraph"/>
        <w:numPr>
          <w:ilvl w:val="0"/>
          <w:numId w:val="2"/>
        </w:numPr>
        <w:spacing w:after="80"/>
      </w:pPr>
      <w:r>
        <w:rPr>
          <w:b/>
        </w:rPr>
        <w:t xml:space="preserve">Head promoter / venue marketing partner: </w:t>
      </w:r>
      <w:r>
        <w:rPr>
          <w:b w:val="0"/>
        </w:rPr>
        <w:t>20–35% of total bar sales for the night, sometimes with a base — reserved for partners who can reliably fill the room.</w:t>
      </w:r>
    </w:p>
    <w:p>
      <w:pPr>
        <w:pStyle w:val="ListParagraph"/>
        <w:numPr>
          <w:ilvl w:val="0"/>
          <w:numId w:val="2"/>
        </w:numPr>
        <w:spacing w:after="80"/>
      </w:pPr>
      <w:r>
        <w:rPr>
          <w:b/>
        </w:rPr>
        <w:t xml:space="preserve">ATCHÉ target: </w:t>
      </w:r>
      <w:r>
        <w:rPr>
          <w:b w:val="0"/>
        </w:rPr>
        <w:t>start at 15–20% as a standard promoter while proving volume; once consistently filling 2+ tables/week at a venue, renegotiate toward head-promoter terms (20–35% of bar revenue, possibly + a flat per-night fee).</w:t>
      </w:r>
    </w:p>
    <w:p>
      <w:r>
        <w:t>DC market reference: mid-tier upscale lounges typically run table minimums of roughly $500–$1,500 (vs. the $300–600 range for ATCHÉ's own smaller produced events, Row 1 above), plus ~30% on top for tax (8–10%) and gratuity (18–20%). Bottle pricing at this tier is typically $300–700/bottle, with a common minimum of 1 bottle per 4 guests.</w:t>
      </w:r>
    </w:p>
    <w:p>
      <w:pPr>
        <w:pStyle w:val="Heading2"/>
      </w:pPr>
      <w:r>
        <w:t>“Elite Experience” Package Tiers (Draft)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DDDDDD" w:sz="1"/>
              <w:left w:val="single" w:color="DDDDDD" w:sz="1"/>
              <w:bottom w:val="single" w:color="DDDDDD" w:sz="1"/>
              <w:right w:val="single" w:color="DDDDDD" w:sz="1"/>
            </w:tcBorders>
            <w:shd w:val="clear" w:fill="F4ECDC"/>
            <w:vAlign w:val="center"/>
          </w:tcPr>
          <w:p>
            <w:r/>
            <w:r>
              <w:rPr>
                <w:b/>
                <w:sz w:val="20"/>
              </w:rPr>
              <w:t>Tier</w:t>
            </w:r>
          </w:p>
        </w:tc>
        <w:tc>
          <w:tcPr>
            <w:tcW w:type="dxa" w:w="2430"/>
            <w:tcBorders>
              <w:top w:val="single" w:color="DDDDDD" w:sz="1"/>
              <w:left w:val="single" w:color="DDDDDD" w:sz="1"/>
              <w:bottom w:val="single" w:color="DDDDDD" w:sz="1"/>
              <w:right w:val="single" w:color="DDDDDD" w:sz="1"/>
            </w:tcBorders>
            <w:shd w:val="clear" w:fill="F4ECDC"/>
            <w:vAlign w:val="center"/>
          </w:tcPr>
          <w:p>
            <w:r/>
            <w:r>
              <w:rPr>
                <w:b/>
                <w:sz w:val="20"/>
              </w:rPr>
              <w:t>What's Included</w:t>
            </w:r>
          </w:p>
        </w:tc>
        <w:tc>
          <w:tcPr>
            <w:tcW w:type="dxa" w:w="2430"/>
            <w:tcBorders>
              <w:top w:val="single" w:color="DDDDDD" w:sz="1"/>
              <w:left w:val="single" w:color="DDDDDD" w:sz="1"/>
              <w:bottom w:val="single" w:color="DDDDDD" w:sz="1"/>
              <w:right w:val="single" w:color="DDDDDD" w:sz="1"/>
            </w:tcBorders>
            <w:shd w:val="clear" w:fill="F4ECDC"/>
            <w:vAlign w:val="center"/>
          </w:tcPr>
          <w:p>
            <w:r/>
            <w:r>
              <w:rPr>
                <w:b/>
                <w:sz w:val="20"/>
              </w:rPr>
              <w:t>Table Min. (Draft)</w:t>
            </w:r>
          </w:p>
        </w:tc>
        <w:tc>
          <w:tcPr>
            <w:tcW w:type="dxa" w:w="2430"/>
            <w:tcBorders>
              <w:top w:val="single" w:color="DDDDDD" w:sz="1"/>
              <w:left w:val="single" w:color="DDDDDD" w:sz="1"/>
              <w:bottom w:val="single" w:color="DDDDDD" w:sz="1"/>
              <w:right w:val="single" w:color="DDDDDD" w:sz="1"/>
            </w:tcBorders>
            <w:shd w:val="clear" w:fill="F4ECDC"/>
            <w:vAlign w:val="center"/>
          </w:tcPr>
          <w:p>
            <w:r/>
            <w:r>
              <w:rPr>
                <w:b/>
                <w:sz w:val="20"/>
              </w:rPr>
              <w:t>Guest Count</w:t>
            </w:r>
          </w:p>
        </w:tc>
      </w:tr>
      <w:tr>
        <w:tc>
          <w:tcPr>
            <w:tcW w:type="dxa" w:w="2430"/>
            <w:tcBorders>
              <w:top w:val="single" w:color="DDDDDD" w:sz="1"/>
              <w:left w:val="single" w:color="DDDDDD" w:sz="1"/>
              <w:bottom w:val="single" w:color="DDDDDD" w:sz="1"/>
              <w:right w:val="single" w:color="DDDDDD" w:sz="1"/>
            </w:tcBorders>
            <w:vAlign w:val="center"/>
          </w:tcPr>
          <w:p>
            <w:r/>
            <w:r>
              <w:rPr>
                <w:b w:val="0"/>
                <w:sz w:val="20"/>
              </w:rPr>
              <w:t>The Section</w:t>
            </w:r>
          </w:p>
        </w:tc>
        <w:tc>
          <w:tcPr>
            <w:tcW w:type="dxa" w:w="2430"/>
            <w:tcBorders>
              <w:top w:val="single" w:color="DDDDDD" w:sz="1"/>
              <w:left w:val="single" w:color="DDDDDD" w:sz="1"/>
              <w:bottom w:val="single" w:color="DDDDDD" w:sz="1"/>
              <w:right w:val="single" w:color="DDDDDD" w:sz="1"/>
            </w:tcBorders>
            <w:vAlign w:val="center"/>
          </w:tcPr>
          <w:p>
            <w:r/>
            <w:r>
              <w:rPr>
                <w:b w:val="0"/>
                <w:sz w:val="20"/>
              </w:rPr>
              <w:t>Reserved high-top, 1 bottle, priority entry</w:t>
            </w:r>
          </w:p>
        </w:tc>
        <w:tc>
          <w:tcPr>
            <w:tcW w:type="dxa" w:w="2430"/>
            <w:tcBorders>
              <w:top w:val="single" w:color="DDDDDD" w:sz="1"/>
              <w:left w:val="single" w:color="DDDDDD" w:sz="1"/>
              <w:bottom w:val="single" w:color="DDDDDD" w:sz="1"/>
              <w:right w:val="single" w:color="DDDDDD" w:sz="1"/>
            </w:tcBorders>
            <w:vAlign w:val="center"/>
          </w:tcPr>
          <w:p>
            <w:r/>
            <w:r>
              <w:rPr>
                <w:b w:val="0"/>
                <w:sz w:val="20"/>
              </w:rPr>
              <w:t>$500–700</w:t>
            </w:r>
          </w:p>
        </w:tc>
        <w:tc>
          <w:tcPr>
            <w:tcW w:type="dxa" w:w="2430"/>
            <w:tcBorders>
              <w:top w:val="single" w:color="DDDDDD" w:sz="1"/>
              <w:left w:val="single" w:color="DDDDDD" w:sz="1"/>
              <w:bottom w:val="single" w:color="DDDDDD" w:sz="1"/>
              <w:right w:val="single" w:color="DDDDDD" w:sz="1"/>
            </w:tcBorders>
            <w:vAlign w:val="center"/>
          </w:tcPr>
          <w:p>
            <w:r/>
            <w:r>
              <w:rPr>
                <w:b w:val="0"/>
                <w:sz w:val="20"/>
              </w:rPr>
              <w:t>4</w:t>
            </w:r>
          </w:p>
        </w:tc>
      </w:tr>
      <w:tr>
        <w:tc>
          <w:tcPr>
            <w:tcW w:type="dxa" w:w="2430"/>
            <w:tcBorders>
              <w:top w:val="single" w:color="DDDDDD" w:sz="1"/>
              <w:left w:val="single" w:color="DDDDDD" w:sz="1"/>
              <w:bottom w:val="single" w:color="DDDDDD" w:sz="1"/>
              <w:right w:val="single" w:color="DDDDDD" w:sz="1"/>
            </w:tcBorders>
            <w:vAlign w:val="center"/>
          </w:tcPr>
          <w:p>
            <w:r/>
            <w:r>
              <w:rPr>
                <w:b w:val="0"/>
                <w:sz w:val="20"/>
              </w:rPr>
              <w:t>The Elite Experience</w:t>
            </w:r>
          </w:p>
        </w:tc>
        <w:tc>
          <w:tcPr>
            <w:tcW w:type="dxa" w:w="2430"/>
            <w:tcBorders>
              <w:top w:val="single" w:color="DDDDDD" w:sz="1"/>
              <w:left w:val="single" w:color="DDDDDD" w:sz="1"/>
              <w:bottom w:val="single" w:color="DDDDDD" w:sz="1"/>
              <w:right w:val="single" w:color="DDDDDD" w:sz="1"/>
            </w:tcBorders>
            <w:vAlign w:val="center"/>
          </w:tcPr>
          <w:p>
            <w:r/>
            <w:r>
              <w:rPr>
                <w:b w:val="0"/>
                <w:sz w:val="20"/>
              </w:rPr>
              <w:t>Reserved table, 2 bottles, dedicated ATCHÉ host, on-site content (photo set delivered next day)</w:t>
            </w:r>
          </w:p>
        </w:tc>
        <w:tc>
          <w:tcPr>
            <w:tcW w:type="dxa" w:w="2430"/>
            <w:tcBorders>
              <w:top w:val="single" w:color="DDDDDD" w:sz="1"/>
              <w:left w:val="single" w:color="DDDDDD" w:sz="1"/>
              <w:bottom w:val="single" w:color="DDDDDD" w:sz="1"/>
              <w:right w:val="single" w:color="DDDDDD" w:sz="1"/>
            </w:tcBorders>
            <w:vAlign w:val="center"/>
          </w:tcPr>
          <w:p>
            <w:r/>
            <w:r>
              <w:rPr>
                <w:b w:val="0"/>
                <w:sz w:val="20"/>
              </w:rPr>
              <w:t>$1,000–1,500</w:t>
            </w:r>
          </w:p>
        </w:tc>
        <w:tc>
          <w:tcPr>
            <w:tcW w:type="dxa" w:w="2430"/>
            <w:tcBorders>
              <w:top w:val="single" w:color="DDDDDD" w:sz="1"/>
              <w:left w:val="single" w:color="DDDDDD" w:sz="1"/>
              <w:bottom w:val="single" w:color="DDDDDD" w:sz="1"/>
              <w:right w:val="single" w:color="DDDDDD" w:sz="1"/>
            </w:tcBorders>
            <w:vAlign w:val="center"/>
          </w:tcPr>
          <w:p>
            <w:r/>
            <w:r>
              <w:rPr>
                <w:b w:val="0"/>
                <w:sz w:val="20"/>
              </w:rPr>
              <w:t>6–8</w:t>
            </w:r>
          </w:p>
        </w:tc>
      </w:tr>
      <w:tr>
        <w:tc>
          <w:tcPr>
            <w:tcW w:type="dxa" w:w="2430"/>
            <w:tcBorders>
              <w:top w:val="single" w:color="DDDDDD" w:sz="1"/>
              <w:left w:val="single" w:color="DDDDDD" w:sz="1"/>
              <w:bottom w:val="single" w:color="DDDDDD" w:sz="1"/>
              <w:right w:val="single" w:color="DDDDDD" w:sz="1"/>
            </w:tcBorders>
            <w:vAlign w:val="center"/>
          </w:tcPr>
          <w:p>
            <w:r/>
            <w:r>
              <w:rPr>
                <w:b w:val="0"/>
                <w:sz w:val="20"/>
              </w:rPr>
              <w:t>The Circle Night</w:t>
            </w:r>
          </w:p>
        </w:tc>
        <w:tc>
          <w:tcPr>
            <w:tcW w:type="dxa" w:w="2430"/>
            <w:tcBorders>
              <w:top w:val="single" w:color="DDDDDD" w:sz="1"/>
              <w:left w:val="single" w:color="DDDDDD" w:sz="1"/>
              <w:bottom w:val="single" w:color="DDDDDD" w:sz="1"/>
              <w:right w:val="single" w:color="DDDDDD" w:sz="1"/>
            </w:tcBorders>
            <w:vAlign w:val="center"/>
          </w:tcPr>
          <w:p>
            <w:r/>
            <w:r>
              <w:rPr>
                <w:b w:val="0"/>
                <w:sz w:val="20"/>
              </w:rPr>
              <w:t>Full section/buyout, 3+ bottles, dedicated host + content team, Circle members seated at the table</w:t>
            </w:r>
          </w:p>
        </w:tc>
        <w:tc>
          <w:tcPr>
            <w:tcW w:type="dxa" w:w="2430"/>
            <w:tcBorders>
              <w:top w:val="single" w:color="DDDDDD" w:sz="1"/>
              <w:left w:val="single" w:color="DDDDDD" w:sz="1"/>
              <w:bottom w:val="single" w:color="DDDDDD" w:sz="1"/>
              <w:right w:val="single" w:color="DDDDDD" w:sz="1"/>
            </w:tcBorders>
            <w:vAlign w:val="center"/>
          </w:tcPr>
          <w:p>
            <w:r/>
            <w:r>
              <w:rPr>
                <w:b w:val="0"/>
                <w:sz w:val="20"/>
              </w:rPr>
              <w:t>$2,000+</w:t>
            </w:r>
          </w:p>
        </w:tc>
        <w:tc>
          <w:tcPr>
            <w:tcW w:type="dxa" w:w="2430"/>
            <w:tcBorders>
              <w:top w:val="single" w:color="DDDDDD" w:sz="1"/>
              <w:left w:val="single" w:color="DDDDDD" w:sz="1"/>
              <w:bottom w:val="single" w:color="DDDDDD" w:sz="1"/>
              <w:right w:val="single" w:color="DDDDDD" w:sz="1"/>
            </w:tcBorders>
            <w:vAlign w:val="center"/>
          </w:tcPr>
          <w:p>
            <w:r/>
            <w:r>
              <w:rPr>
                <w:b w:val="0"/>
                <w:sz w:val="20"/>
              </w:rPr>
              <w:t>10–12</w:t>
            </w:r>
          </w:p>
        </w:tc>
      </w:tr>
    </w:tbl>
    <w:p>
      <w:r>
        <w:rPr>
          <w:i/>
        </w:rPr>
        <w:t>Exact prices depend on the first venue conversation — these are starting reference points based on DC mid-tier market pricing, not confirmed quotes.</w:t>
      </w:r>
    </w:p>
    <w:p>
      <w:pPr>
        <w:pStyle w:val="Heading2"/>
      </w:pPr>
      <w:r>
        <w:t>Audience Segmentation → Who Buys, Who's In The Room</w:t>
      </w:r>
    </w:p>
    <w:p>
      <w:r>
        <w:t>This is the direct answer to the open audience-segmentation question from internal discussion: the promoter track works because ATCHÉ already has both halves of the equation — a paying audience and a roster that creates the scene that audience is paying to be part of.</w:t>
      </w:r>
    </w:p>
    <w:p>
      <w:pPr>
        <w:pStyle w:val="ListParagraph"/>
        <w:numPr>
          <w:ilvl w:val="0"/>
          <w:numId w:val="2"/>
        </w:numPr>
        <w:spacing w:after="80"/>
      </w:pPr>
      <w:r>
        <w:rPr>
          <w:b/>
        </w:rPr>
        <w:t xml:space="preserve">The buyers: </w:t>
      </w:r>
      <w:r>
        <w:rPr>
          <w:b w:val="0"/>
        </w:rPr>
        <w:t>the older, disposable-income segment — professionals who have money for a curated night out and value being hosted, photographed, and placed in a real scene rather than figuring it out themselves. This is the same segment The Room (premium guest membership, Row 4) is built for, and Elite Experience packages are a natural upsell for Room members.</w:t>
      </w:r>
    </w:p>
    <w:p>
      <w:pPr>
        <w:pStyle w:val="ListParagraph"/>
        <w:numPr>
          <w:ilvl w:val="0"/>
          <w:numId w:val="2"/>
        </w:numPr>
        <w:spacing w:after="80"/>
      </w:pPr>
      <w:r>
        <w:rPr>
          <w:b/>
        </w:rPr>
        <w:t xml:space="preserve">The scene: </w:t>
      </w:r>
      <w:r>
        <w:rPr>
          <w:b w:val="0"/>
        </w:rPr>
        <w:t>the Circle — younger, HBCU-adjacent women who are social-capital-rich and cash-poor. Their presence at and around the table is part of what the Elite Experience buyer is paying for. In exchange, Circle members get free or discounted entry/drinks and — importantly — content: the same Studio team shooting the buyer's table also produces portfolio/social content featuring Circle members.</w:t>
      </w:r>
    </w:p>
    <w:p>
      <w:pPr>
        <w:pStyle w:val="ListParagraph"/>
        <w:numPr>
          <w:ilvl w:val="0"/>
          <w:numId w:val="2"/>
        </w:numPr>
        <w:spacing w:after="80"/>
      </w:pPr>
      <w:r>
        <w:rPr>
          <w:b/>
        </w:rPr>
        <w:t xml:space="preserve">Keep it consensual and transparent. </w:t>
      </w:r>
      <w:r>
        <w:rPr>
          <w:b w:val="0"/>
        </w:rPr>
        <w:t>This only works inside the existing trust architecture: Circle members opt in knowing the arrangement, are never presented as “decoration” without their knowledge, and — per the Compensation Philosophy addendum above — if a member's role shifts from “guest enjoying a comped night” to anything resembling paid event staff (e.g., required attendance, assigned tables, work hours), that's a paid booking, not a perk.</w:t>
      </w:r>
    </w:p>
    <w:p>
      <w:pPr>
        <w:pStyle w:val="Heading2"/>
      </w:pPr>
      <w:r>
        <w:t>Selling It — Website &amp; Sister's Role</w:t>
      </w:r>
    </w:p>
    <w:p>
      <w:pPr>
        <w:pStyle w:val="ListParagraph"/>
        <w:numPr>
          <w:ilvl w:val="0"/>
          <w:numId w:val="2"/>
        </w:numPr>
        <w:spacing w:after="80"/>
      </w:pPr>
      <w:r>
        <w:rPr>
          <w:b/>
        </w:rPr>
        <w:t xml:space="preserve">Booking page (new): </w:t>
      </w:r>
      <w:r>
        <w:rPr>
          <w:b w:val="0"/>
        </w:rPr>
        <w:t>package tiers, date/venue picker, deposit checkout (Stripe) on the ATCHÉ website — the same site already hosting the Circle/Studio intake forms.</w:t>
      </w:r>
    </w:p>
    <w:p>
      <w:pPr>
        <w:pStyle w:val="ListParagraph"/>
        <w:numPr>
          <w:ilvl w:val="0"/>
          <w:numId w:val="2"/>
        </w:numPr>
        <w:spacing w:after="80"/>
      </w:pPr>
      <w:r>
        <w:rPr>
          <w:b/>
        </w:rPr>
        <w:t xml:space="preserve">Sister as Experience Coordinator: </w:t>
      </w:r>
      <w:r>
        <w:rPr>
          <w:b w:val="0"/>
        </w:rPr>
        <w:t>owns the booking inbox, collects deposits, confirms guest counts with the venue, coordinates the on-site host and Studio photographer day-of, and follows up post-event with delivered content — which drives repeat bookings and reviews.</w:t>
      </w:r>
    </w:p>
    <w:p>
      <w:pPr>
        <w:pStyle w:val="ListParagraph"/>
        <w:numPr>
          <w:ilvl w:val="0"/>
          <w:numId w:val="2"/>
        </w:numPr>
        <w:spacing w:after="80"/>
      </w:pPr>
      <w:r>
        <w:rPr>
          <w:b/>
        </w:rPr>
        <w:t xml:space="preserve">Why this fits the existing model: </w:t>
      </w:r>
      <w:r>
        <w:rPr>
          <w:b w:val="0"/>
        </w:rPr>
        <w:t>it's recurring, low-overhead revenue built on curation and relationships rather than headcount — exactly the kind of line the original Expanded Business Model called for, and it gives the Studio content pipeline a steady, paid reason to shoot every week.</w:t>
      </w:r>
    </w:p>
    <w:p>
      <w:pPr>
        <w:pStyle w:val="Heading2"/>
      </w:pPr>
      <w:r>
        <w:t>What Needs to Be Built</w:t>
      </w:r>
    </w:p>
    <w:p>
      <w:pPr>
        <w:pStyle w:val="ListParagraph"/>
        <w:numPr>
          <w:ilvl w:val="0"/>
          <w:numId w:val="2"/>
        </w:numPr>
        <w:spacing w:after="80"/>
      </w:pPr>
      <w:r>
        <w:rPr>
          <w:b/>
        </w:rPr>
        <w:t xml:space="preserve">Pilot venue agreement(s) — </w:t>
      </w:r>
      <w:r>
        <w:rPr>
          <w:b w:val="0"/>
        </w:rPr>
        <w:t>1–2 venues, written commission terms (start 15–20%).</w:t>
      </w:r>
    </w:p>
    <w:p>
      <w:pPr>
        <w:pStyle w:val="ListParagraph"/>
        <w:numPr>
          <w:ilvl w:val="0"/>
          <w:numId w:val="2"/>
        </w:numPr>
        <w:spacing w:after="80"/>
      </w:pPr>
      <w:r>
        <w:rPr>
          <w:b/>
        </w:rPr>
        <w:t xml:space="preserve">Booking page on the ATCHÉ website — </w:t>
      </w:r>
      <w:r>
        <w:rPr>
          <w:b w:val="0"/>
        </w:rPr>
        <w:t>package tiers, calendar, deposit checkout.</w:t>
      </w:r>
    </w:p>
    <w:p>
      <w:pPr>
        <w:pStyle w:val="ListParagraph"/>
        <w:numPr>
          <w:ilvl w:val="0"/>
          <w:numId w:val="2"/>
        </w:numPr>
        <w:spacing w:after="80"/>
      </w:pPr>
      <w:r>
        <w:rPr>
          <w:b/>
        </w:rPr>
        <w:t xml:space="preserve">CRM tagging — </w:t>
      </w:r>
      <w:r>
        <w:rPr>
          <w:b w:val="0"/>
        </w:rPr>
        <w:t>track promoter-track table bookings separately from ATCHÉ-produced event tables in the venue CRM.</w:t>
      </w:r>
    </w:p>
    <w:p>
      <w:pPr>
        <w:pStyle w:val="ListParagraph"/>
        <w:numPr>
          <w:ilvl w:val="0"/>
          <w:numId w:val="2"/>
        </w:numPr>
        <w:spacing w:after="80"/>
      </w:pPr>
      <w:r>
        <w:rPr>
          <w:b/>
        </w:rPr>
        <w:t xml:space="preserve">Coordinator workflow doc for sister — </w:t>
      </w:r>
      <w:r>
        <w:rPr>
          <w:b w:val="0"/>
        </w:rPr>
        <w:t>booking confirmation, day-of checklist, post-event content delivery.</w:t>
      </w:r>
    </w:p>
    <w:p>
      <w:pPr>
        <w:pStyle w:val="Heading2"/>
      </w:pPr>
      <w:r>
        <w:t>Phasing</w:t>
      </w:r>
    </w:p>
    <w:p>
      <w:pPr>
        <w:pStyle w:val="ListParagraph"/>
        <w:numPr>
          <w:ilvl w:val="0"/>
          <w:numId w:val="2"/>
        </w:numPr>
        <w:spacing w:after="80"/>
      </w:pPr>
      <w:r>
        <w:rPr>
          <w:b/>
        </w:rPr>
        <w:t xml:space="preserve">Phase 1 — Manual pilot: </w:t>
      </w:r>
      <w:r>
        <w:rPr>
          <w:b w:val="0"/>
        </w:rPr>
        <w:t>1 venue, 1–2 tables/week, bookings via DM/Instagram + manual invoice. Sister learns the coordinator role before the website flow exists.</w:t>
      </w:r>
    </w:p>
    <w:p>
      <w:pPr>
        <w:pStyle w:val="ListParagraph"/>
        <w:numPr>
          <w:ilvl w:val="0"/>
          <w:numId w:val="2"/>
        </w:numPr>
        <w:spacing w:after="80"/>
      </w:pPr>
      <w:r>
        <w:rPr>
          <w:b/>
        </w:rPr>
        <w:t xml:space="preserve">Phase 2 — Website booking live: </w:t>
      </w:r>
      <w:r>
        <w:rPr>
          <w:b w:val="0"/>
        </w:rPr>
        <w:t>formal package tiers, online deposits, expand to 2–3 venues.</w:t>
      </w:r>
    </w:p>
    <w:p>
      <w:pPr>
        <w:pStyle w:val="ListParagraph"/>
        <w:numPr>
          <w:ilvl w:val="0"/>
          <w:numId w:val="2"/>
        </w:numPr>
        <w:spacing w:after="80"/>
      </w:pPr>
      <w:r>
        <w:rPr>
          <w:b/>
        </w:rPr>
        <w:t xml:space="preserve">Phase 3 — Head-promoter status: </w:t>
      </w:r>
      <w:r>
        <w:rPr>
          <w:b w:val="0"/>
        </w:rPr>
        <w:t>once volume is proven, negotiate toward 20–35% of bar revenue + guaranteed minimums at 1+ anchor venue.</w:t>
      </w:r>
    </w:p>
    <w:p>
      <w:r>
        <w:rPr>
          <w:i/>
        </w:rPr>
        <w:t>This is a working draft for discussion — exact commission rates, package prices, and which venue to approach first are open questions for the first venue conversation.</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b/>
        <w:bCs/>
        <w:color w:val="595959"/>
        <w:sz w:val="16"/>
        <w:szCs w:val="16"/>
      </w:rPr>
      <w:t xml:space="preserve">ATCHÉ — INTERNAL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54A" w:sz="6" w:space="4"/>
      </w:pBd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8A6A2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2026-06-11T02:10:59.036Z</dcterms:created>
  <dcterms:modified xsi:type="dcterms:W3CDTF">2026-06-11T02:10:59.036Z</dcterms:modified>
</cp:coreProperties>
</file>

<file path=docProps/custom.xml><?xml version="1.0" encoding="utf-8"?>
<Properties xmlns="http://schemas.openxmlformats.org/officeDocument/2006/custom-properties" xmlns:vt="http://schemas.openxmlformats.org/officeDocument/2006/docPropsVTypes"/>
</file>