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sz w:val="22"/>
        </w:rPr>
        <w:t>МИНИСТЕРСТВО НАУКИ И ВЫСШЕГО ОБРАЗОВАНИЯ РОССИЙСКОЙ ФЕДЕРАЦИИ</w:t>
        <w:br/>
        <w:t>ПОЛИТЕХНИЧЕСКИЙ КОЛЛЕДЖ БГТУ</w:t>
        <w:br/>
        <w:br/>
        <w:t>Кафедра информационных технологий и прикладного программирования</w:t>
        <w:br/>
        <w:br/>
        <w:br/>
        <w:br/>
      </w:r>
    </w:p>
    <w:p>
      <w:pPr>
        <w:jc w:val="center"/>
      </w:pPr>
      <w:r>
        <w:rPr>
          <w:rFonts w:ascii="Times New Roman" w:hAnsi="Times New Roman"/>
          <w:b/>
          <w:color w:val="1E40AF"/>
          <w:sz w:val="32"/>
        </w:rPr>
        <w:t>ОТЧЁТ ПО ПРАКТИЧЕСКОЙ РАБОТЕ №1</w:t>
        <w:br/>
      </w:r>
      <w:r>
        <w:rPr>
          <w:rFonts w:ascii="Times New Roman" w:hAnsi="Times New Roman"/>
          <w:sz w:val="26"/>
        </w:rPr>
        <w:t>по теме: «Моделирование программного проекта и определение состава разработчиков»</w:t>
        <w:br/>
        <w:br/>
        <w:t>Дисциплина: МДК 02.01. Технология разработки программного обеспечения</w:t>
        <w:br/>
        <w:t>Тема курсового проекта: «Разработка системы управления общежитием»</w:t>
        <w:br/>
        <w:br/>
        <w:br/>
        <w:br/>
      </w:r>
    </w:p>
    <w:p>
      <w:pPr>
        <w:jc w:val="right"/>
      </w:pPr>
      <w:r>
        <w:rPr>
          <w:rFonts w:ascii="Times New Roman" w:hAnsi="Times New Roman"/>
          <w:sz w:val="24"/>
        </w:rPr>
        <w:t>Выполнил студент группы ИТ-31:</w:t>
        <w:br/>
        <w:t>Витеник П.Л.</w:t>
        <w:br/>
        <w:br/>
        <w:t>Проверил преподаватель:</w:t>
        <w:br/>
        <w:t>_____________________</w:t>
        <w:br/>
        <w:br/>
        <w:br/>
        <w:br/>
        <w:br/>
        <w:br/>
      </w:r>
    </w:p>
    <w:p>
      <w:pPr>
        <w:jc w:val="center"/>
      </w:pPr>
      <w:r>
        <w:rPr>
          <w:rFonts w:ascii="Times New Roman" w:hAnsi="Times New Roman"/>
          <w:sz w:val="24"/>
        </w:rPr>
        <w:t>2026 г.</w:t>
      </w:r>
    </w:p>
    <w:p>
      <w:r>
        <w:br w:type="page"/>
      </w:r>
    </w:p>
    <w:p>
      <w:pPr>
        <w:pStyle w:val="Heading1"/>
      </w:pPr>
      <w:r>
        <w:t>1. Цель работы и описание предметной области</w:t>
      </w:r>
    </w:p>
    <w:p>
      <w:r>
        <w:t>Цель работы: построить модель функциональных требований и модель предметной области для системы управления общежитием образовательной организации, обосновать функциональные модули и состав команды разработчиков на основе расчетных оценок сложности, а также зафиксировать ключевой сценарий с помощью диаграммы деятельности со swimlane-дорожками.</w:t>
        <w:br/>
        <w:br/>
        <w:t>Предметная область:</w:t>
        <w:br/>
        <w:t>Система предназначена для комплексной автоматизации учёта жильцов, комнат, номерного фонда и заселения в общежитии образовательной организации.</w:t>
        <w:br/>
        <w:t>Пользователи (акторы): Студент, Комендант, Воспитатель, Администратор, а также внешняя платёжная система (Банк/СБП).</w:t>
        <w:br/>
        <w:t>Основные возможности: регистрация жильцов, автоматический поиск свободных мест по критериям (пол, курс, факультет), распределение комнат, оформление заселения с генерацией договора найма, регистрация и контроль заявок на ремонт, мониторинг начислений и задолженности, проведение выселения с электронным обходным листом.</w:t>
        <w:br/>
        <w:t>Сущности: Корпус, Комната, Место, Студент, Заявление, ДоговорНайма, Заселение, Выселение, ЗаявкаНаРемонт, Платёж.</w:t>
        <w:br/>
        <w:t>Бизнес-процесс: Заявление → Распределение места (с автопоиском) → Заселение → Проживание → Выселение.</w:t>
      </w:r>
    </w:p>
    <w:p>
      <w:pPr>
        <w:pStyle w:val="Heading1"/>
      </w:pPr>
      <w:r>
        <w:t>2. Диаграмма вариантов использования (прецедентов)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7940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94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Рис. 1. Диаграмма вариантов использования системы управления общежитием</w:t>
      </w:r>
    </w:p>
    <w:p>
      <w:pPr>
        <w:pStyle w:val="Heading2"/>
      </w:pPr>
      <w:r>
        <w:t>Таблица вариантов использования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E2E8F0"/>
          <w:insideV w:val="none"/>
          <w:left w:val="none"/>
          <w:right w:val="none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FF6FF"/>
          </w:tcPr>
          <w:p>
            <w:r>
              <w:rPr>
                <w:b/>
                <w:sz w:val="20"/>
              </w:rPr>
              <w:t>№</w:t>
            </w:r>
          </w:p>
        </w:tc>
        <w:tc>
          <w:tcPr>
            <w:tcW w:type="dxa" w:w="1728"/>
            <w:shd w:fill="EFF6FF"/>
          </w:tcPr>
          <w:p>
            <w:r>
              <w:rPr>
                <w:b/>
                <w:sz w:val="20"/>
              </w:rPr>
              <w:t>Вариант использования</w:t>
            </w:r>
          </w:p>
        </w:tc>
        <w:tc>
          <w:tcPr>
            <w:tcW w:type="dxa" w:w="1728"/>
            <w:shd w:fill="EFF6FF"/>
          </w:tcPr>
          <w:p>
            <w:r>
              <w:rPr>
                <w:b/>
                <w:sz w:val="20"/>
              </w:rPr>
              <w:t>Основной актор</w:t>
            </w:r>
          </w:p>
        </w:tc>
        <w:tc>
          <w:tcPr>
            <w:tcW w:type="dxa" w:w="1728"/>
            <w:shd w:fill="EFF6FF"/>
          </w:tcPr>
          <w:p>
            <w:r>
              <w:rPr>
                <w:b/>
                <w:sz w:val="20"/>
              </w:rPr>
              <w:t>Тип / Связи</w:t>
            </w:r>
          </w:p>
        </w:tc>
        <w:tc>
          <w:tcPr>
            <w:tcW w:type="dxa" w:w="1728"/>
            <w:shd w:fill="EFF6FF"/>
          </w:tcPr>
          <w:p>
            <w:r>
              <w:rPr>
                <w:b/>
                <w:sz w:val="20"/>
              </w:rPr>
              <w:t>Краткое описание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UC1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Подать заявление на заселение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Студент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Базовый, &lt;&lt;extend&gt;&gt; от льгот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Подача электронной заявки с указанием факультета, курса и желаемого типа комнаты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UC2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Подобрать свободное место (автопоиск)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Комендант / Система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&lt;&lt;include&gt;&gt; от UC3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Автоматический подбор подходящего койко-места по заданным критериям пола и курса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UC3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Распределить место в общежитии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Комендант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Включает UC2, &lt;&lt;include&gt;&gt; от UC5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Фиксация бронирования конкретного койко-места за студентом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UC4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Сформировать договор найма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Комендант / Система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&lt;&lt;include&gt;&gt; от UC5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Автоматическая генерация двустороннего договора найма с тарифом и сроками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UC5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Оформить заселение и выдать ключи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Комендант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Включает UC3, UC4 (Ядро)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Проверка документов, подписание договора найма, выдача ключа и пропуска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UC6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Зарегистрировать заявку на ремонт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Студент, Воспитатель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Базовый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Электронная регистрация заявки на починку мебели, электрики или сантехники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UC7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Обработать заявку на ремонт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Комендант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Базовый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Назначение мастера, контроль выполнения работ, закрытие заявки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UC8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Оплатить проживание онлайн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Студент, Банковский шлюз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Базовый, внешняя система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Онлайн-оплата найма через СБП/эквайринг с авторегистрацией платежа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UC9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Контролировать задолженность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Комендант, Администратор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Базовый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Мониторинг оплат, выгрузка реестра должников, выставление пеней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UC10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Оформить выселение (обходной лист)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Комендант, Студент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Базовый, &lt;&lt;extend&gt;&gt; ущерб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Сдача ключей, проверка инвентаря, закрытие договора, освобождение койко-места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UC11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Вести учёт номерного фонда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Администратор, Комендант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Базовый (CRUD)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Управление справочниками корпусов, этажей, комнат и статусов мест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UC12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Формировать отчёты и аналитику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Администратор, Воспитатель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Базовый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Аналитические сводки по заселённости, долгам, льготникам и ремонтам</w:t>
            </w:r>
          </w:p>
        </w:tc>
      </w:tr>
    </w:tbl>
    <w:p>
      <w:r>
        <w:br/>
        <w:t>Обоснование связей include и extend:</w:t>
        <w:br/>
        <w:t>• Связи &lt;&lt;include&gt;&gt;: Вариант «Оформить заселение» обязательно включает «Распределить место в общежитии» и «Сформировать договор найма», так как заселение юридически и фактически невозможно без привязки места и наличия договора. Вариант «Распределить место» включает «Подобрать свободное место (автопоиск)» для исключения человеческих ошибок.</w:t>
        <w:br/>
        <w:t>• Связи &lt;&lt;extend&gt;&gt;: Вариант «Оформить выселение» расширяется вариантом «Зафиксировать ущерб и долги» только в случае выявления дефектов имущества или неоплаченных счетов (точка расширения: обнаружен долг/ущерб). Вариант «Подать заявление» расширяется вариантом «Прикрепить документы о льготах» только при наличии у студента подтверждённого льготного статуса.</w:t>
      </w:r>
    </w:p>
    <w:p>
      <w:pPr>
        <w:pStyle w:val="Heading1"/>
      </w:pPr>
      <w:r>
        <w:t>3. Диаграмма классов предметной области и трассировка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4015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Рис. 2. Диаграмма классов предметной области (UML Class Diagram)</w:t>
      </w:r>
    </w:p>
    <w:p>
      <w:pPr>
        <w:pStyle w:val="Heading2"/>
      </w:pPr>
      <w:r>
        <w:t>Трассировка «Вариант использования → Классы»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E2E8F0"/>
          <w:insideV w:val="none"/>
          <w:left w:val="none"/>
          <w:right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EFF6FF"/>
          </w:tcPr>
          <w:p>
            <w:r>
              <w:rPr>
                <w:b/>
                <w:sz w:val="20"/>
              </w:rPr>
              <w:t>Вариант использования</w:t>
            </w:r>
          </w:p>
        </w:tc>
        <w:tc>
          <w:tcPr>
            <w:tcW w:type="dxa" w:w="2880"/>
            <w:shd w:fill="EFF6FF"/>
          </w:tcPr>
          <w:p>
            <w:r>
              <w:rPr>
                <w:b/>
                <w:sz w:val="20"/>
              </w:rPr>
              <w:t>Задействованные классы</w:t>
            </w:r>
          </w:p>
        </w:tc>
        <w:tc>
          <w:tcPr>
            <w:tcW w:type="dxa" w:w="2880"/>
            <w:shd w:fill="EFF6FF"/>
          </w:tcPr>
          <w:p>
            <w:r>
              <w:rPr>
                <w:b/>
                <w:sz w:val="20"/>
              </w:rPr>
              <w:t>Характер взаимодействия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UC1. Подать заявление на заселение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Студент, Заявление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Создание сущности Заявление, привязка к Студенту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UC2. Подобрать свободное место (автопоиск)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Корпус, Комната, Место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Чтение атрибутов комнат (пол, курс, статус), выборка доступных Мест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UC3. Распределить место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Заявление, Место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Резервирование Места (PlaceStatus.RESERVED) под Заявление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UC4. Сформировать договор найма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ДоговорНайма, Студент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Формирование реквизитов договора, расчёт ежемесячной стоимости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UC5. Оформить заселение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Заселение, ДоговорНайма, Место, Студент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Создание факта заселения, перевод Места в статус OCCUPIED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UC6. Зарегистрировать заявку на ремонт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ЗаявкаНаРемонт, Комната, Студент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Фиксация дефекта с привязкой к конкретной комнате жильца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UC7. Обработать заявку на ремонт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ЗаявкаНаРемонт, Комната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Смена статуса заявки комендантом (В работе / Выполнено)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UC8. Оплатить проживание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Платёж, Студент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Регистрация платёжной транзакции, уменьшение задолженности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UC9. Контролировать задолженность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Платёж, ДоговорНайма, Студент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Сверка сумм начислений по договору с суммой платежей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UC10. Оформить выселение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Выселение, Заселение, Место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Регистрация выселения, перевод Места в статус FREE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UC11. Вести учёт номерного фонда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Корпус, Комната, Место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Администрирование структуры здания и вместимости помещений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UC12. Формировать отчёты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Заселение, Студент, Платёж, Корпус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Агрегированные выборки данных для руководства</w:t>
            </w:r>
          </w:p>
        </w:tc>
      </w:tr>
    </w:tbl>
    <w:p>
      <w:pPr>
        <w:pStyle w:val="Heading1"/>
      </w:pPr>
      <w:r>
        <w:t>4. Модули, сложность и распределение ресурса</w:t>
      </w:r>
    </w:p>
    <w:p>
      <w:r>
        <w:t>Расчёт основан на единых условных ограничениях практической работы: гипотетическая команда — 3 человека, срок — 4 месяца (общий ресурс: 3 × 4 = 12 человеко-месяцев). Каждый модуль оценивается по 4 критериям:</w:t>
        <w:br/>
        <w:t>• Объём (1–4): количество вариантов использования;</w:t>
        <w:br/>
        <w:t>• Внешняя интеграция (0–2): наличие сторонних сервисов (банк, SMS);</w:t>
        <w:br/>
        <w:t>• Критичность (0–2): основной бизнес-процесс, персональные данные (152-ФЗ), деньги;</w:t>
        <w:br/>
        <w:t>• Новизна (0–2): алгоритмическая сложность и нетиповая логика.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E2E8F0"/>
          <w:insideV w:val="none"/>
          <w:left w:val="none"/>
          <w:right w:val="none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EFF6FF"/>
          </w:tcPr>
          <w:p>
            <w:r>
              <w:rPr>
                <w:b/>
                <w:sz w:val="20"/>
              </w:rPr>
              <w:t>Модуль</w:t>
            </w:r>
          </w:p>
        </w:tc>
        <w:tc>
          <w:tcPr>
            <w:tcW w:type="dxa" w:w="1080"/>
            <w:shd w:fill="EFF6FF"/>
          </w:tcPr>
          <w:p>
            <w:r>
              <w:rPr>
                <w:b/>
                <w:sz w:val="20"/>
              </w:rPr>
              <w:t>Варианты использования</w:t>
            </w:r>
          </w:p>
        </w:tc>
        <w:tc>
          <w:tcPr>
            <w:tcW w:type="dxa" w:w="1080"/>
            <w:shd w:fill="EFF6FF"/>
          </w:tcPr>
          <w:p>
            <w:r>
              <w:rPr>
                <w:b/>
                <w:sz w:val="20"/>
              </w:rPr>
              <w:t>Объём</w:t>
            </w:r>
          </w:p>
        </w:tc>
        <w:tc>
          <w:tcPr>
            <w:tcW w:type="dxa" w:w="1080"/>
            <w:shd w:fill="EFF6FF"/>
          </w:tcPr>
          <w:p>
            <w:r>
              <w:rPr>
                <w:b/>
                <w:sz w:val="20"/>
              </w:rPr>
              <w:t>Инт.</w:t>
            </w:r>
          </w:p>
        </w:tc>
        <w:tc>
          <w:tcPr>
            <w:tcW w:type="dxa" w:w="1080"/>
            <w:shd w:fill="EFF6FF"/>
          </w:tcPr>
          <w:p>
            <w:r>
              <w:rPr>
                <w:b/>
                <w:sz w:val="20"/>
              </w:rPr>
              <w:t>Крит.</w:t>
            </w:r>
          </w:p>
        </w:tc>
        <w:tc>
          <w:tcPr>
            <w:tcW w:type="dxa" w:w="1080"/>
            <w:shd w:fill="EFF6FF"/>
          </w:tcPr>
          <w:p>
            <w:r>
              <w:rPr>
                <w:b/>
                <w:sz w:val="20"/>
              </w:rPr>
              <w:t>Нов.</w:t>
            </w:r>
          </w:p>
        </w:tc>
        <w:tc>
          <w:tcPr>
            <w:tcW w:type="dxa" w:w="1080"/>
            <w:shd w:fill="EFF6FF"/>
          </w:tcPr>
          <w:p>
            <w:r>
              <w:rPr>
                <w:b/>
                <w:sz w:val="20"/>
              </w:rPr>
              <w:t>Балл</w:t>
            </w:r>
          </w:p>
        </w:tc>
        <w:tc>
          <w:tcPr>
            <w:tcW w:type="dxa" w:w="1080"/>
            <w:shd w:fill="EFF6FF"/>
          </w:tcPr>
          <w:p>
            <w:r>
              <w:rPr>
                <w:b/>
                <w:sz w:val="20"/>
              </w:rPr>
              <w:t>Ресурс, чел.-мес.</w:t>
            </w:r>
          </w:p>
        </w:tc>
      </w:tr>
      <w:tr>
        <w:tc>
          <w:tcPr>
            <w:tcW w:type="dxa" w:w="1080"/>
          </w:tcPr>
          <w:p>
            <w:r>
              <w:rPr>
                <w:sz w:val="19"/>
              </w:rPr>
              <w:t>M1. Управление пользователями и правами (Identity)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Регистрация жильцов, роли (RBAC), ПДн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1.8</w:t>
            </w:r>
          </w:p>
        </w:tc>
      </w:tr>
      <w:tr>
        <w:tc>
          <w:tcPr>
            <w:tcW w:type="dxa" w:w="1080"/>
          </w:tcPr>
          <w:p>
            <w:r>
              <w:rPr>
                <w:sz w:val="19"/>
              </w:rPr>
              <w:t>M2. Номерной фонд и автопоиск (Inventory &amp; Search)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Учёт корпусов, комнат, мест, алгоритм поиска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2.4</w:t>
            </w:r>
          </w:p>
        </w:tc>
      </w:tr>
      <w:tr>
        <w:tc>
          <w:tcPr>
            <w:tcW w:type="dxa" w:w="1080"/>
          </w:tcPr>
          <w:p>
            <w:r>
              <w:rPr>
                <w:sz w:val="19"/>
              </w:rPr>
              <w:t>M3. Заселение и контингент (Tenancy Core — Ядро)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Заявления, договоры, заселение, выселение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3.6</w:t>
            </w:r>
          </w:p>
        </w:tc>
      </w:tr>
      <w:tr>
        <w:tc>
          <w:tcPr>
            <w:tcW w:type="dxa" w:w="1080"/>
          </w:tcPr>
          <w:p>
            <w:r>
              <w:rPr>
                <w:sz w:val="19"/>
              </w:rPr>
              <w:t>M4. Эксплуатация и ремонт (Maintenance)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Заявки на ремонт, журнал дефектов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0.6</w:t>
            </w:r>
          </w:p>
        </w:tc>
      </w:tr>
      <w:tr>
        <w:tc>
          <w:tcPr>
            <w:tcW w:type="dxa" w:w="1080"/>
          </w:tcPr>
          <w:p>
            <w:r>
              <w:rPr>
                <w:sz w:val="19"/>
              </w:rPr>
              <w:t>M5. Биллинг и отчётность (Billing &amp; Analytics)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Начисления, банковские платежи, задолженности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3.6</w:t>
            </w:r>
          </w:p>
        </w:tc>
      </w:tr>
      <w:tr>
        <w:tc>
          <w:tcPr>
            <w:tcW w:type="dxa" w:w="1080"/>
            <w:shd w:fill="EFF6FF"/>
          </w:tcPr>
          <w:p>
            <w:r>
              <w:rPr>
                <w:b/>
                <w:sz w:val="20"/>
              </w:rPr>
              <w:t>ИТОГО</w:t>
            </w:r>
          </w:p>
        </w:tc>
        <w:tc>
          <w:tcPr>
            <w:tcW w:type="dxa" w:w="1080"/>
            <w:shd w:fill="EFF6FF"/>
          </w:tcPr>
          <w:p>
            <w:r>
              <w:rPr>
                <w:b/>
                <w:sz w:val="20"/>
              </w:rPr>
              <w:t>—</w:t>
            </w:r>
          </w:p>
        </w:tc>
        <w:tc>
          <w:tcPr>
            <w:tcW w:type="dxa" w:w="1080"/>
            <w:shd w:fill="EFF6FF"/>
          </w:tcPr>
          <w:p>
            <w:r>
              <w:rPr>
                <w:b/>
                <w:sz w:val="20"/>
              </w:rPr>
              <w:t>—</w:t>
            </w:r>
          </w:p>
        </w:tc>
        <w:tc>
          <w:tcPr>
            <w:tcW w:type="dxa" w:w="1080"/>
            <w:shd w:fill="EFF6FF"/>
          </w:tcPr>
          <w:p>
            <w:r>
              <w:rPr>
                <w:b/>
                <w:sz w:val="20"/>
              </w:rPr>
              <w:t>—</w:t>
            </w:r>
          </w:p>
        </w:tc>
        <w:tc>
          <w:tcPr>
            <w:tcW w:type="dxa" w:w="1080"/>
            <w:shd w:fill="EFF6FF"/>
          </w:tcPr>
          <w:p>
            <w:r>
              <w:rPr>
                <w:b/>
                <w:sz w:val="20"/>
              </w:rPr>
              <w:t>—</w:t>
            </w:r>
          </w:p>
        </w:tc>
        <w:tc>
          <w:tcPr>
            <w:tcW w:type="dxa" w:w="1080"/>
            <w:shd w:fill="EFF6FF"/>
          </w:tcPr>
          <w:p>
            <w:r>
              <w:rPr>
                <w:b/>
                <w:sz w:val="20"/>
              </w:rPr>
              <w:t>—</w:t>
            </w:r>
          </w:p>
        </w:tc>
        <w:tc>
          <w:tcPr>
            <w:tcW w:type="dxa" w:w="1080"/>
            <w:shd w:fill="EFF6FF"/>
          </w:tcPr>
          <w:p>
            <w:r>
              <w:rPr>
                <w:b/>
                <w:sz w:val="20"/>
              </w:rPr>
              <w:t>20</w:t>
            </w:r>
          </w:p>
        </w:tc>
        <w:tc>
          <w:tcPr>
            <w:tcW w:type="dxa" w:w="1080"/>
            <w:shd w:fill="EFF6FF"/>
          </w:tcPr>
          <w:p>
            <w:r>
              <w:rPr>
                <w:b/>
                <w:sz w:val="20"/>
              </w:rPr>
              <w:t>12.0</w:t>
            </w:r>
          </w:p>
        </w:tc>
      </w:tr>
    </w:tbl>
    <w:p>
      <w:pPr>
        <w:pStyle w:val="Heading1"/>
      </w:pPr>
      <w:r>
        <w:t>5. Состав команды, схема организации и практики XP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E2E8F0"/>
          <w:insideV w:val="none"/>
          <w:left w:val="none"/>
          <w:right w:val="none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FF6FF"/>
          </w:tcPr>
          <w:p>
            <w:r>
              <w:rPr>
                <w:b/>
                <w:sz w:val="20"/>
              </w:rPr>
              <w:t>Участник</w:t>
            </w:r>
          </w:p>
        </w:tc>
        <w:tc>
          <w:tcPr>
            <w:tcW w:type="dxa" w:w="1728"/>
            <w:shd w:fill="EFF6FF"/>
          </w:tcPr>
          <w:p>
            <w:r>
              <w:rPr>
                <w:b/>
                <w:sz w:val="20"/>
              </w:rPr>
              <w:t>Роль</w:t>
            </w:r>
          </w:p>
        </w:tc>
        <w:tc>
          <w:tcPr>
            <w:tcW w:type="dxa" w:w="1728"/>
            <w:shd w:fill="EFF6FF"/>
          </w:tcPr>
          <w:p>
            <w:r>
              <w:rPr>
                <w:b/>
                <w:sz w:val="20"/>
              </w:rPr>
              <w:t>Закреплённые модули</w:t>
            </w:r>
          </w:p>
        </w:tc>
        <w:tc>
          <w:tcPr>
            <w:tcW w:type="dxa" w:w="1728"/>
            <w:shd w:fill="EFF6FF"/>
          </w:tcPr>
          <w:p>
            <w:r>
              <w:rPr>
                <w:b/>
                <w:sz w:val="20"/>
              </w:rPr>
              <w:t>Ресурс, чел.-мес.</w:t>
            </w:r>
          </w:p>
        </w:tc>
        <w:tc>
          <w:tcPr>
            <w:tcW w:type="dxa" w:w="1728"/>
            <w:shd w:fill="EFF6FF"/>
          </w:tcPr>
          <w:p>
            <w:r>
              <w:rPr>
                <w:b/>
                <w:sz w:val="20"/>
              </w:rPr>
              <w:t>Ключевая ответственность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Участник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Роль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Закреплённые модули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Ресурс, чел.-мес.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Ключевая ответственность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Разработчик 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Тимлид / Backend-архитектор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M3. Tenancy Core (Ядро заселения)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3.6 (+0.4 надзор)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Архитектура БД, транзакции заселения/выселения, предотвращение овербукинга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Разработчик 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Fullstack / Алгоритмы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M2 (Фонд и автопоиск) + M4 (Ремонт)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3.0 (2.4 + 0.6)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Движок автоподбора свободных мест, учет номерного фонда, диспетчеризация ремонтов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Разработчик 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Fullstack / FinTech &amp; Sec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M1 (Пользователи и ПДн) + M5 (Биллинг)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5.4 (1.8 + 3.6)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Контур защиты ПДн по 152-ФЗ, интеграция с банковским эквайрингом, реестр должников</w:t>
            </w:r>
          </w:p>
        </w:tc>
      </w:tr>
    </w:tbl>
    <w:p>
      <w:r>
        <w:br/>
        <w:t>Обоснование схемы организации (Микрогруппы):</w:t>
        <w:br/>
        <w:t>Для команды из 3 человек выбрана схема организации «Микрогруппы». В условиях 4-месячного семестрового срока классическая бюрократическая иерархия неэффективна. Микрогруппа обеспечивает прямое горизонтальное взаимодействие, чёткую персональную ответственность за доверенные модули и отсутствие простоев при согласовании задач.</w:t>
        <w:br/>
        <w:br/>
        <w:t>Выбранные практики Экстремального Программирования (XP):</w:t>
        <w:br/>
        <w:t>1. TDD (Разработка через тестирование) — обязательна для модулей M3 (Tenancy Core), M2 (автопоиск мест) и M5 (биллинг), так как ошибки в распределении мест (двойное заселение) и финансовых начислениях недопустимы;</w:t>
        <w:br/>
        <w:t>2. CI (Непрерывная интеграция) — автоматическая сборка и прогон автотестов при каждом пуше в репозиторий;</w:t>
        <w:br/>
        <w:t>3. Обязательное взаимное код-ревью (Code Review) — гарантирует соответствие кодовой базы стандартам безопасности и защиту ПДн.</w:t>
      </w:r>
    </w:p>
    <w:p>
      <w:pPr>
        <w:pStyle w:val="Heading1"/>
      </w:pPr>
      <w:r>
        <w:t>6. Диаграмма деятельности ключевого сценария</w:t>
      </w:r>
    </w:p>
    <w:p>
      <w:r>
        <w:t>В качестве ключевого сценария выбран наиболее критичный и сложный процесс проекта — «Оформление заселения с автоматическим поиском и распределением места». Сценарий описан с помощью swimlane-дорожек (Студент, Комендант, Система общежития) и содержит ветвления отказов (отсутствие свободных мест, отказ студента).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6196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19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Рис. 3. Диаграмма деятельности ключевого сценария заселения (UML Activity Diagram)</w:t>
      </w:r>
    </w:p>
    <w:p>
      <w:pPr>
        <w:pStyle w:val="Heading1"/>
      </w:pPr>
      <w:r>
        <w:t>7. Фиксация результатов в репозитории Git</w:t>
      </w:r>
    </w:p>
    <w:p>
      <w:r>
        <w:t>Материалы практической работы зафиксированы в личном репозитории в каталоге docs/model/:</w:t>
        <w:br/>
        <w:t>• docs/model/usecase.drawio, usecase.png</w:t>
        <w:br/>
        <w:t>• docs/model/class.drawio, class.png</w:t>
        <w:br/>
        <w:t>• docs/model/activity.drawio, activity.png</w:t>
        <w:br/>
        <w:t>• docs/model/team.md</w:t>
        <w:br/>
        <w:br/>
        <w:t>Выполненные коммиты:</w:t>
        <w:br/>
        <w:t>1. commit: docs(model): add use case and class diagrams</w:t>
        <w:br/>
        <w:t>2. commit: docs(model): add modules and team composition (team.md)</w:t>
        <w:br/>
        <w:t>3. commit: docs(model): add activity diagram for check-in process</w:t>
      </w:r>
    </w:p>
    <w:p>
      <w:pPr>
        <w:pStyle w:val="Heading1"/>
      </w:pPr>
      <w:r>
        <w:t>8. Выводы и ответы на контрольные вопросы</w:t>
      </w:r>
    </w:p>
    <w:p>
      <w:r>
        <w:t>Выводы:</w:t>
        <w:br/>
        <w:t>В ходе практической работы №1 была детально проанализирована предметная область управления общежитием. Построены диаграммы прецедентов, классов и деятельности. Произведена объективная оценка сложности функциональных модулей (20 баллов), на основе которой ресурс в 12 чел.-мес. был математически распределён между тремя участниками команды. Обоснованы схема микрогрупп и практики XP.</w:t>
        <w:br/>
        <w:br/>
        <w:t>Ответы на контрольные вопросы:</w:t>
        <w:br/>
        <w:t>Вопрос 1: В чём ключевое отличие отношений &lt;&lt;include&gt;&gt; и &lt;&lt;extend&gt;&gt; в UML Use Case?</w:t>
        <w:br/>
        <w:t>Ответ: Связь &lt;&lt;include&gt;&gt; обозначает обязательное включение подчинённого сценария в базовый: без него базовый прецедент не может завершиться (стрелка направлена от базового к включаемому). Связь &lt;&lt;extend&gt;&gt; обозначает опциональное или условное расширение, которое подключается только при наступлении определённого условия в точке расширения (стрелка направлена от расширяющего прецедента к базовому).</w:t>
        <w:br/>
        <w:br/>
        <w:t>Вопрос 2: Чем отличается композиция от агрегации в диаграмме классов на примере общежития?</w:t>
        <w:br/>
        <w:t>Ответ: Композиция (закрашенный ромб) означает сильную зависимость жизни частей от целого: при удалении целого уничтожаются и части. Например, связь Корпус *-- Комната или Комната *-- Койко-место (место физически не существует без комнаты). Агрегация (пустой ромб) означает слабое владение: части могут существовать автономно от целого.</w:t>
        <w:br/>
        <w:br/>
        <w:t>Вопрос 3: Зачем переводить оценку проекта в численные баллы сложности и человеко-месяцы?</w:t>
        <w:br/>
        <w:t>Ответ: Это исключает субъективизм при распределении задач («на глаз»), позволяет планировать бюджет и сроки, а также балансировать загрузку разработчиков с учётом критичности модулей и рисков внешней интеграции.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