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sz w:val="22"/>
        </w:rPr>
        <w:t>МИНИСТЕРСТВО НАУКИ И ВЫСШЕГО ОБРАЗОВАНИЯ РОССИЙСКОЙ ФЕДЕРАЦИИ</w:t>
        <w:br/>
        <w:t>ПОЛИТЕХНИЧЕСКИЙ КОЛЛЕДЖ БГТУ</w:t>
        <w:br/>
        <w:br/>
        <w:t>Кафедра информационных технологий и прикладного программирования</w:t>
        <w:br/>
        <w:br/>
        <w:br/>
        <w:br/>
      </w:r>
    </w:p>
    <w:p>
      <w:pPr>
        <w:jc w:val="center"/>
      </w:pPr>
      <w:r>
        <w:rPr>
          <w:rFonts w:ascii="Times New Roman" w:hAnsi="Times New Roman"/>
          <w:b/>
          <w:color w:val="1E40AF"/>
          <w:sz w:val="32"/>
        </w:rPr>
        <w:t>ОТЧЁТ ПО ПРАКТИЧЕСКОЙ РАБОТЕ №2</w:t>
        <w:br/>
      </w:r>
      <w:r>
        <w:rPr>
          <w:rFonts w:ascii="Times New Roman" w:hAnsi="Times New Roman"/>
          <w:sz w:val="26"/>
        </w:rPr>
        <w:t>по теме: «Разработка архитектуры программного проекта»</w:t>
        <w:br/>
        <w:br/>
        <w:t>Дисциплина: МДК 02.01. Технология разработки программного обеспечения</w:t>
        <w:br/>
        <w:t>Тема курсового проекта: «Разработка системы управления общежитием»</w:t>
        <w:br/>
        <w:br/>
        <w:br/>
        <w:br/>
      </w:r>
    </w:p>
    <w:p>
      <w:pPr>
        <w:jc w:val="right"/>
      </w:pPr>
      <w:r>
        <w:rPr>
          <w:rFonts w:ascii="Times New Roman" w:hAnsi="Times New Roman"/>
          <w:sz w:val="24"/>
        </w:rPr>
        <w:t>Выполнил студент группы ИТ-31:</w:t>
        <w:br/>
        <w:t>Витеник П.Л.</w:t>
        <w:br/>
        <w:br/>
        <w:t>Проверил преподаватель:</w:t>
        <w:br/>
        <w:t>_____________________</w:t>
        <w:br/>
        <w:br/>
        <w:br/>
        <w:br/>
        <w:br/>
        <w:br/>
      </w:r>
    </w:p>
    <w:p>
      <w:pPr>
        <w:jc w:val="center"/>
      </w:pPr>
      <w:r>
        <w:rPr>
          <w:rFonts w:ascii="Times New Roman" w:hAnsi="Times New Roman"/>
          <w:sz w:val="24"/>
        </w:rPr>
        <w:t>2026 г.</w:t>
      </w:r>
    </w:p>
    <w:p>
      <w:r>
        <w:br w:type="page"/>
      </w:r>
    </w:p>
    <w:p>
      <w:pPr>
        <w:pStyle w:val="Heading1"/>
      </w:pPr>
      <w:r>
        <w:t>1. Цель работы, атрибуты качества и выбор архитектурного стиля</w:t>
      </w:r>
    </w:p>
    <w:p>
      <w:r>
        <w:t>Цель работы: разработать многоуровневую архитектуру системы управления общежитием образовательной организации, сформулировать измеримые атрибуты качества, обосновать выбор архитектурного стиля «модульный монолит», построить логическое представление (пакеты), представление реализации (компоненты) и развёртывания (узлы), выполнить сценарный проход для выявления узких мест и оформить запись архитектурного решения (ADR-001).</w:t>
        <w:br/>
        <w:br/>
        <w:t>Измеримые атрибуты качества системы:</w:t>
        <w:br/>
        <w:t>1. Защита персональных данных (ПДн, 152-ФЗ): Все персональные данные (ФИО, паспорт, контакты) хранятся в зашифрованном виде (AES-256) в закрытой схеме БД, изолированной от интернета. Доступ разграничен по ролям (RBAC). Данные не отображаются в логах.</w:t>
        <w:br/>
        <w:t>2. Надёжность и транзакционность: 100% операций распределения мест и заключения договора выполняются в атомарной транзакции с пессимистической блокировкой (SELECT FOR UPDATE). Ситуация овербукинга (двойного заселения) исключена полностью.</w:t>
        <w:br/>
        <w:t>3. Производительность автопоиска: Алгоритм подбора свободных мест возвращает результат не более чем за 1.0 секунду при базе в 2 000 мест и 50 одновременных запросах комендантов.</w:t>
        <w:br/>
        <w:br/>
        <w:t>Обоснование архитектурного стиля:</w:t>
        <w:br/>
        <w:t>Выбран стиль «Модульный монолит». Для команды из 3 человек и семестрового срока микросервисы нецелесообразны из-за избыточной сложности поддержки сетевых взаимодействий и распределённых транзакций. Модульный монолит сочетает лёгкость развёртывания и поддержки с надёжной изоляцией бизнес-пакетов и поддержкой строгих локальных транзакций ACID.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2E8F0"/>
          <w:insideV w:val="none"/>
          <w:left w:val="none"/>
          <w:right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FF6FF"/>
          </w:tcPr>
          <w:p>
            <w:r>
              <w:rPr>
                <w:b/>
                <w:sz w:val="20"/>
              </w:rPr>
              <w:t>Критерий (вес)</w:t>
            </w:r>
          </w:p>
        </w:tc>
        <w:tc>
          <w:tcPr>
            <w:tcW w:type="dxa" w:w="2160"/>
            <w:shd w:fill="EFF6FF"/>
          </w:tcPr>
          <w:p>
            <w:r>
              <w:rPr>
                <w:b/>
                <w:sz w:val="20"/>
              </w:rPr>
              <w:t>Монолит</w:t>
            </w:r>
          </w:p>
        </w:tc>
        <w:tc>
          <w:tcPr>
            <w:tcW w:type="dxa" w:w="2160"/>
            <w:shd w:fill="EFF6FF"/>
          </w:tcPr>
          <w:p>
            <w:r>
              <w:rPr>
                <w:b/>
                <w:sz w:val="20"/>
              </w:rPr>
              <w:t>Модульный монолит</w:t>
            </w:r>
          </w:p>
        </w:tc>
        <w:tc>
          <w:tcPr>
            <w:tcW w:type="dxa" w:w="2160"/>
            <w:shd w:fill="EFF6FF"/>
          </w:tcPr>
          <w:p>
            <w:r>
              <w:rPr>
                <w:b/>
                <w:sz w:val="20"/>
              </w:rPr>
              <w:t>Микросервисы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Простота реализации силами 3 человек (5)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 (25)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4 (20)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 (5)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Скорость разработки за 4 месяца (4)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 (20)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4 (16)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 (4)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Изоляция критичных частей и ПДн (4)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 (8)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4 (16)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 (20)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Простота сопровождения и развёртывания (3)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4 (12)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 (15)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 (6)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Надёжность транзакций без сетевых сбоев (4)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 (20)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 (20)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 (8)</w:t>
            </w:r>
          </w:p>
        </w:tc>
      </w:tr>
      <w:tr>
        <w:tc>
          <w:tcPr>
            <w:tcW w:type="dxa" w:w="2160"/>
            <w:shd w:fill="EFF6FF"/>
          </w:tcPr>
          <w:p>
            <w:r>
              <w:rPr>
                <w:b/>
                <w:sz w:val="20"/>
              </w:rPr>
              <w:t>ИТОГО (Сумма: Оценка × Вес)</w:t>
            </w:r>
          </w:p>
        </w:tc>
        <w:tc>
          <w:tcPr>
            <w:tcW w:type="dxa" w:w="2160"/>
            <w:shd w:fill="EFF6FF"/>
          </w:tcPr>
          <w:p>
            <w:r>
              <w:rPr>
                <w:b/>
                <w:sz w:val="20"/>
              </w:rPr>
              <w:t>85</w:t>
            </w:r>
          </w:p>
        </w:tc>
        <w:tc>
          <w:tcPr>
            <w:tcW w:type="dxa" w:w="2160"/>
            <w:shd w:fill="EFF6FF"/>
          </w:tcPr>
          <w:p>
            <w:r>
              <w:rPr>
                <w:b/>
                <w:sz w:val="20"/>
              </w:rPr>
              <w:t>87 (Победитель)</w:t>
            </w:r>
          </w:p>
        </w:tc>
        <w:tc>
          <w:tcPr>
            <w:tcW w:type="dxa" w:w="2160"/>
            <w:shd w:fill="EFF6FF"/>
          </w:tcPr>
          <w:p>
            <w:r>
              <w:rPr>
                <w:b/>
                <w:sz w:val="20"/>
              </w:rPr>
              <w:t>43</w:t>
            </w:r>
          </w:p>
        </w:tc>
      </w:tr>
    </w:tbl>
    <w:p>
      <w:pPr>
        <w:pStyle w:val="Heading1"/>
      </w:pPr>
      <w:r>
        <w:t>2. Логическое представление: Диаграмма пакетов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6283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kag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28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1. Диаграмма пакетов (UML Package Diagram)</w:t>
      </w:r>
    </w:p>
    <w:p>
      <w:r>
        <w:t>Распределение классов по пакетам:</w:t>
        <w:br/>
        <w:t>• Presentation Layer: StudentPortalController, WardenDashboardController, AdminConsoleController;</w:t>
        <w:br/>
        <w:t>• Identity &amp; Access: Студент (Student), Пользователь (User), Роль (Role), AuthService;</w:t>
        <w:br/>
        <w:t>• Dormitory Inventory: Корпус, Комната, Место, AutoSearchEngine (алгоритм автопоиска мест);</w:t>
        <w:br/>
        <w:t>• Tenancy Core (Ядро): Заявление, Заселение, ДоговорНайма, Выселение;</w:t>
        <w:br/>
        <w:t>• Maintenance &amp; Repairs: ЗаявкаНаРемонт, Журнал дефектов, RepairStatus;</w:t>
        <w:br/>
        <w:t>• Billing &amp; Analytics: Платёж, DebtTracker, FinancialReportService;</w:t>
        <w:br/>
        <w:t>• External Gateways [external]: BankPaymentGateway, NotificationService.</w:t>
        <w:br/>
        <w:t>Зависимости направлены строго сверху вниз, циклические зависимости полностью отсутствуют.</w:t>
      </w:r>
    </w:p>
    <w:p>
      <w:pPr>
        <w:pStyle w:val="Heading1"/>
      </w:pPr>
      <w:r>
        <w:t>3. Представление реализации: Диаграмма компонентов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31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2. Диаграмма компонентов (UML Component Diagram)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2E8F0"/>
          <w:insideV w:val="none"/>
          <w:left w:val="none"/>
          <w:right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FF6FF"/>
          </w:tcPr>
          <w:p>
            <w:r>
              <w:rPr>
                <w:b/>
                <w:sz w:val="20"/>
              </w:rPr>
              <w:t>Компонент</w:t>
            </w:r>
          </w:p>
        </w:tc>
        <w:tc>
          <w:tcPr>
            <w:tcW w:type="dxa" w:w="2160"/>
            <w:shd w:fill="EFF6FF"/>
          </w:tcPr>
          <w:p>
            <w:r>
              <w:rPr>
                <w:b/>
                <w:sz w:val="20"/>
              </w:rPr>
              <w:t>Назначение</w:t>
            </w:r>
          </w:p>
        </w:tc>
        <w:tc>
          <w:tcPr>
            <w:tcW w:type="dxa" w:w="2160"/>
            <w:shd w:fill="EFF6FF"/>
          </w:tcPr>
          <w:p>
            <w:r>
              <w:rPr>
                <w:b/>
                <w:sz w:val="20"/>
              </w:rPr>
              <w:t>Ответственный</w:t>
            </w:r>
          </w:p>
        </w:tc>
        <w:tc>
          <w:tcPr>
            <w:tcW w:type="dxa" w:w="2160"/>
            <w:shd w:fill="EFF6FF"/>
          </w:tcPr>
          <w:p>
            <w:r>
              <w:rPr>
                <w:b/>
                <w:sz w:val="20"/>
              </w:rPr>
              <w:t>Хранилище данных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Web UI &amp; Controllers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Пользовательский веб-интерфейс жильцов и персонала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Разработчики 1, 2, 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Stateless (JWT токен)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Security &amp; Identity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RBAC-авторизация, шифрование ПДн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Разработчик 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PostgreSQL (схема auth)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Auto-Search Engine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Алгоритм подбора свободных койко-мест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Разработчик 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In-memory кэш + PostgreSQL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Tenancy Core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Бизнес-логика заявлений, заселений и выселений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Разработчик 1 (Тимлид)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PostgreSQL (схема tenancy)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Maintenance Module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Обработка заявок на ремонт бытового фонда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Разработчик 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PostgreSQL (схема maintenance)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Billing &amp; Debt Module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Начисления за наем, учет оплат, должники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Разработчик 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PostgreSQL (схема billing)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Data Access Layer (DAL)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Слой репозиториев и управления ACID-транзакциями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Разработчик 1 (Тимлид)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PostgreSQL 16 Server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External Payment Gateway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Шлюз онлайн-оплаты банковскими картами / СБП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Внешняя система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Процессинг банка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Notification Gateway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Сервис рассылки SMS и Email оповещений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Внешняя система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Облачный шлюз</w:t>
            </w:r>
          </w:p>
        </w:tc>
      </w:tr>
    </w:tbl>
    <w:p>
      <w:pPr>
        <w:pStyle w:val="Heading1"/>
      </w:pPr>
      <w:r>
        <w:t>4. Представление развёртывания: Диаграмма развёртывания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149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3. Диаграмма развёртывания (UML Deployment Diagram)</w:t>
      </w:r>
    </w:p>
    <w:p>
      <w:r>
        <w:t>Топология развёртывания и обеспечение безопасности персональных данных:</w:t>
        <w:br/>
        <w:t>• Клиентское устройство (ПК/Смартфон) взаимодействует с сервером приложений исключительно по зашифрованному протоколу HTTPS (TLS 1.3, порт 443);</w:t>
        <w:br/>
        <w:t>• Сервер приложений (Ubuntu Linux) содержит обратный прокси Nginx (SSL-терминация, балансировка) и монолитное приложение dormitory-app.jar;</w:t>
        <w:br/>
        <w:t>• Сервер базы данных (PostgreSQL 16) изолирован в закрытой подсети (Private VLAN). Прямой доступ из публичного интернета запрещен;</w:t>
        <w:br/>
        <w:t>• Подключение сервера приложений к БД выполняется по внутреннему протоколу TCP (порт 5432) с локальным шифрованием и белым списком IP через UFW.</w:t>
      </w:r>
    </w:p>
    <w:p>
      <w:pPr>
        <w:pStyle w:val="Heading1"/>
      </w:pPr>
      <w:r>
        <w:t>5. Сценарный проход: проверка архитектуры</w:t>
      </w:r>
    </w:p>
    <w:p>
      <w:r>
        <w:t>Для проверки архитектуры выполнен сквозной проход ключевого сценария «Заселение с автопоиском места и подписанием договора».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2E8F0"/>
          <w:insideV w:val="none"/>
          <w:left w:val="none"/>
          <w:right w:val="none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EFF6FF"/>
          </w:tcPr>
          <w:p>
            <w:r>
              <w:rPr>
                <w:b/>
                <w:sz w:val="19"/>
              </w:rPr>
              <w:t>Шаг</w:t>
            </w:r>
          </w:p>
        </w:tc>
        <w:tc>
          <w:tcPr>
            <w:tcW w:type="dxa" w:w="1234"/>
            <w:shd w:fill="EFF6FF"/>
          </w:tcPr>
          <w:p>
            <w:r>
              <w:rPr>
                <w:b/>
                <w:sz w:val="19"/>
              </w:rPr>
              <w:t>Действие</w:t>
            </w:r>
          </w:p>
        </w:tc>
        <w:tc>
          <w:tcPr>
            <w:tcW w:type="dxa" w:w="1234"/>
            <w:shd w:fill="EFF6FF"/>
          </w:tcPr>
          <w:p>
            <w:r>
              <w:rPr>
                <w:b/>
                <w:sz w:val="19"/>
              </w:rPr>
              <w:t>Пакет</w:t>
            </w:r>
          </w:p>
        </w:tc>
        <w:tc>
          <w:tcPr>
            <w:tcW w:type="dxa" w:w="1234"/>
            <w:shd w:fill="EFF6FF"/>
          </w:tcPr>
          <w:p>
            <w:r>
              <w:rPr>
                <w:b/>
                <w:sz w:val="19"/>
              </w:rPr>
              <w:t>Компонент</w:t>
            </w:r>
          </w:p>
        </w:tc>
        <w:tc>
          <w:tcPr>
            <w:tcW w:type="dxa" w:w="1234"/>
            <w:shd w:fill="EFF6FF"/>
          </w:tcPr>
          <w:p>
            <w:r>
              <w:rPr>
                <w:b/>
                <w:sz w:val="19"/>
              </w:rPr>
              <w:t>Узел</w:t>
            </w:r>
          </w:p>
        </w:tc>
        <w:tc>
          <w:tcPr>
            <w:tcW w:type="dxa" w:w="1234"/>
            <w:shd w:fill="EFF6FF"/>
          </w:tcPr>
          <w:p>
            <w:r>
              <w:rPr>
                <w:b/>
                <w:sz w:val="19"/>
              </w:rPr>
              <w:t>Риск / Отказ</w:t>
            </w:r>
          </w:p>
        </w:tc>
        <w:tc>
          <w:tcPr>
            <w:tcW w:type="dxa" w:w="1234"/>
            <w:shd w:fill="EFF6FF"/>
          </w:tcPr>
          <w:p>
            <w:r>
              <w:rPr>
                <w:b/>
                <w:sz w:val="19"/>
              </w:rPr>
              <w:t>Архитектурное решение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Подача заявления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Presentation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Web Controller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Клиент → Сервер приложений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Обрыв связи при отправке формы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Идемпотентный API с idempotency_key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Автоподбор места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Inventory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Search Engine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Сервер приложений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Конкурентный выбор одного места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Подбор возвращает список, бронь только в транзакции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Резервирование места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Tenancy Core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Tenancy Core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Сервер прил. → Сервер БД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Гонка (Race condition): овербукинг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SELECT ... FOR UPDATE (пессимистическая блокировка)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Генерация договора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Tenancy Core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Tenancy Core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Сервер приложений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Сбой формирования PDF-бланка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Запись реквизитов в БД в транзакции, PDF асинхронно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Подписание в ЛК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Presentation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Web Controller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Сервер приложений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Студент не подписал договор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Таймаут 48 часов, автовозврат койки в статус «Свободно»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Активация проживания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Billing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Billing Module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Сервер прил. → Сервер БД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Сбой создания первого счета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Transactional Outbox и гарантированное событие</w:t>
            </w:r>
          </w:p>
        </w:tc>
      </w:tr>
    </w:tbl>
    <w:p>
      <w:pPr>
        <w:pStyle w:val="Heading1"/>
      </w:pPr>
      <w:r>
        <w:t>6. Запись архитектурного решения (ADR-001)</w:t>
      </w:r>
    </w:p>
    <w:p>
      <w:r>
        <w:t>ADR-001. Выбор архитектурного стиля «модульный монолит» и транзакционной изоляции при распределении мест</w:t>
        <w:br/>
        <w:br/>
        <w:t>• Статус: Принято (Accepted)</w:t>
        <w:br/>
        <w:t>• Автор: Витеник П.Л.</w:t>
        <w:br/>
        <w:br/>
        <w:t>Контекст:</w:t>
        <w:br/>
        <w:t>Система управления общежитием разрабатывается командой из 3 человек за 4 месяца. Ключевые требования: абсолютное исключение овербукинга (двойного заселения) при параллельной работе комендантов и соблюдение требований 152-ФЗ.</w:t>
        <w:br/>
        <w:br/>
        <w:t>Рассмотренные альтернативы:</w:t>
        <w:br/>
        <w:t>1. Микросервисная архитектура: избыточные накладные расходы на сетевые взаимодействия и распределённые транзакции (Saga);</w:t>
        <w:br/>
        <w:t>2. Простой монолит без слоёв: высокий риск деградации структуры («спагетти-код»);</w:t>
        <w:br/>
        <w:t>3. Модульный монолит: чёткая изоляция доменных границ при простоте развёртывания и надёжных локальных ACID-транзакциях.</w:t>
        <w:br/>
        <w:br/>
        <w:t>Решение:</w:t>
        <w:br/>
        <w:t>Выбрать модульный монолит на стеке PostgreSQL 16. Операцию резервирования койко-места и заселения выполнять в рамках строгой транзакции уровня изоляции Read Committed с пессимистической блокировкой SELECT ... FOR UPDATE.</w:t>
        <w:br/>
        <w:br/>
        <w:t>Последствия:</w:t>
        <w:br/>
        <w:t>Плюсы: 100% гарантия исключения овербукинга, соблюдение сроков сдачи, высокая скорость отклика.</w:t>
        <w:br/>
        <w:t>Минусы: вертикальное масштабирование сервера при росте базы (для общежития на 2000 мест текущей мощности с избытком).</w:t>
      </w:r>
    </w:p>
    <w:p>
      <w:pPr>
        <w:pStyle w:val="Heading1"/>
      </w:pPr>
      <w:r>
        <w:t>7. Фиксация результатов в репозитории Git</w:t>
      </w:r>
    </w:p>
    <w:p>
      <w:r>
        <w:t>Материалы практической работы №2 зафиксированы в репозитории в каталоге docs/architecture/:</w:t>
        <w:br/>
        <w:t>• docs/architecture/packages.drawio, packages.png</w:t>
        <w:br/>
        <w:t>• docs/architecture/components.drawio, components.png</w:t>
        <w:br/>
        <w:t>• docs/architecture/deployment.drawio, deployment.png</w:t>
        <w:br/>
        <w:t>• docs/architecture/architecture.md</w:t>
        <w:br/>
        <w:br/>
        <w:t>Коммиты:</w:t>
        <w:br/>
        <w:t>1. commit: docs(architecture): add package and component diagrams</w:t>
        <w:br/>
        <w:t>2. commit: docs(architecture): add deployment diagram and quality attributes</w:t>
        <w:br/>
        <w:t>3. commit: docs(architecture): add scenario walkthrough and ADR</w:t>
      </w:r>
    </w:p>
    <w:p>
      <w:pPr>
        <w:pStyle w:val="Heading1"/>
      </w:pPr>
      <w:r>
        <w:t>8. Выводы и ответы на контрольные вопросы</w:t>
      </w:r>
    </w:p>
    <w:p>
      <w:r>
        <w:t>Выводы:</w:t>
        <w:br/>
        <w:t>В ходе практической работы №2 разработана сбалансированная архитектура системы управления общежитием. Определены измеримые атрибуты качества, выбран модульный монолит на основе матрицы решений, построены диаграммы пакетов, компонентов и развёртывания. Сценарный проход позволил выявить и ликвидировать риск race condition при бронировании мест с помощью транзакционной блокировки уровня строк СУБД, зафиксированной в ADR-001.</w:t>
        <w:br/>
        <w:br/>
        <w:t>Ответы на контрольные вопросы:</w:t>
        <w:br/>
        <w:t>Вопрос 1: Чем измеримая формулировка атрибута качества отличается от декларативной?</w:t>
        <w:br/>
        <w:t>Ответ: Декларативная («система должна работать быстро») не содержит критериев проверки. Измеримая указывает точные численные метрики, условия нагрузки и контекст («время отклика алгоритма автопоиска не превышает 1.0 с при базе 2000 мест и 50 одновременных запросах»).</w:t>
        <w:br/>
        <w:br/>
        <w:t>Вопрос 2: Почему микросервисы не рекомендуются для небольших учебных проектов?</w:t>
        <w:br/>
        <w:t>Ответ: Они привносят колоссальные инфраструктурные издержки: необходимость настройки Service Mesh, распределённых логов, оркестрации контейнеров (K8s) и саг для согласования данных, отвлекая 3 разработчиков от написания бизнес-логики.</w:t>
        <w:br/>
        <w:br/>
        <w:t>Вопрос 3: Как диаграмма развёртывания подтверждает соблюдение 152-ФЗ?</w:t>
        <w:br/>
        <w:t>Ответ: Она наглядно демонстрирует физическое разделение публичного периметра (HTTPS к серверу приложений) и приватного контура базы данных, доступ к которой из интернета физически закрыт файрволом.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