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444E0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公共管理决策支持平台</w:t>
      </w:r>
    </w:p>
    <w:p w14:paraId="761F4998">
      <w:pPr>
        <w:pStyle w:val="31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建设与实现方案项目书</w:t>
      </w:r>
    </w:p>
    <w:p w14:paraId="52432220">
      <w:pPr>
        <w:pStyle w:val="26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历史数据预测  业务规则建议  人工复核与结果追踪</w:t>
      </w:r>
    </w:p>
    <w:p w14:paraId="563E9D9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核心方法与模型</w:t>
      </w:r>
    </w:p>
    <w:p w14:paraId="5B7552DC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309360" cy="4668520"/>
            <wp:effectExtent l="0" t="0" r="5715" b="8255"/>
            <wp:docPr id="1" name="Picture 1" descr="矢量表格：环节、核心方法或模型、具体用途与要点、实施安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矢量表格：环节、核心方法或模型、具体用途与要点、实施安排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68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3F5E8">
      <w:pPr>
        <w:spacing w:before="1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实施原则：先做基线与树模型，再做规则建议；数据与验证通过后扩展区间、解释和资源优化。政策因果效果评估另行设计。</w:t>
      </w:r>
    </w:p>
    <w:p w14:paraId="641301F4">
      <w:pPr>
        <w:pStyle w:val="3"/>
        <w:pageBreakBefore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核心方法与模型流程</w:t>
      </w:r>
    </w:p>
    <w:p w14:paraId="0BE2A1CA">
      <w:pPr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309360" cy="5646420"/>
            <wp:effectExtent l="0" t="0" r="0" b="0"/>
            <wp:docPr id="11" name="Picture 11" descr="核心方法流程图：数据导入、质量校验、特征构建、模型预测、规则建议、人工复核、结果反馈；历史、预测与方案视图作为可视化分支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核心方法流程图：数据导入、质量校验、特征构建、模型预测、规则建议、人工复核、结果反馈；历史、预测与方案视图作为可视化分支。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6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C22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项目摘要</w:t>
      </w:r>
    </w:p>
    <w:p w14:paraId="30ECED5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项目拟建设面向公共管理与应急处置的决策支持平台，整合已有表格、数据库和历史业务记录，提供数据质量检查、交互式可视化、区域需求预测、资源准备建议、人工复核和结果回看。平台的直接用途是帮助工作人员提前识别需求上升与资源缺口，并形成有依据、可追溯的处置准备清单。</w:t>
      </w:r>
    </w:p>
    <w:p w14:paraId="06A6491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首期采用“单一业务场景、固定预测窗口、按日批量更新”的实施方式。以区域未来7天应急服务需求预测为参考任务，建设一个朴素基线和一个树模型，使用经业务审定的规则生成建议。系统提供辅助意见，最终处置由具有相应权限的人员决定。</w:t>
      </w:r>
    </w:p>
    <w:p w14:paraId="3DA78BF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建议采用Python、Streamlit、FastAPI和PostgreSQL组成首期技术栈，配合scikit-learn完成模型训练与回测。八周目标为具备历史验证能力的可运行原型，前提是两名具备相关开发能力的成员持续投入，且业务人员参与标签、规则和验收口径确认。数据条件不足时，保留分析与规则功能，调整预测范</w:t>
      </w:r>
    </w:p>
    <w:p w14:paraId="3167C6CF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309360" cy="2725420"/>
            <wp:effectExtent l="0" t="0" r="5715" b="8255"/>
            <wp:docPr id="3" name="Picture 3" descr="矢量表格：模块、具体功能、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矢量表格：模块、具体功能、输出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592E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</w:p>
    <w:p w14:paraId="14655A10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可视化呈现实现方案</w:t>
      </w:r>
    </w:p>
    <w:p w14:paraId="10C2F3A8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309360" cy="3103880"/>
            <wp:effectExtent l="0" t="0" r="5715" b="1270"/>
            <wp:docPr id="4" name="Picture 4" descr="矢量表格：展示内容、图表形式、交互与业务用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矢量表格：展示内容、图表形式、交互与业务用途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E2A5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实现方法</w:t>
      </w:r>
    </w:p>
    <w:p w14:paraId="36AD38C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Streamlit管理事件、区域、日期、指标和方案筛选状态，Plotly负责图形绘制。前端调用FastAPI汇总查询接口；服务端使用与明细查询一致的过滤条件和聚合口径，返回时间、区域、数值、单位及版本。优先在数据库聚合，避免将全部原始记录传到浏览器。</w:t>
      </w:r>
    </w:p>
    <w:p w14:paraId="0629A38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交互与导出</w:t>
      </w:r>
    </w:p>
    <w:p w14:paraId="797A002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统一筛选条件作用于图表和明细；选择区域后进入对应预测与建议页面。支持缩放、悬停、图例切换和筛选重置。导出筛选后的CSV或XLSX，并提供图表图片导出；导出文件记录条件、生成时间与数据版本，图片导出组件在部署时验证兼容性。</w:t>
      </w:r>
    </w:p>
    <w:p w14:paraId="2EC3941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展示与验收要求</w:t>
      </w:r>
    </w:p>
    <w:p w14:paraId="2083A389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测值、预测值和候选方案用颜色配合线型或文字区分；标明坐标轴、单位、统计粒度和更新时间。缺失数据不画成零，失败或过期结果明确标记。验收核对图表与明细总量、筛选联动、空数据提示和导出一致性，继续执行平台统一的区域权限控制。</w:t>
      </w:r>
    </w:p>
    <w:p w14:paraId="6D943EF8">
      <w:pPr>
        <w:pStyle w:val="4"/>
        <w:rPr>
          <w:rFonts w:hint="eastAsia" w:ascii="宋体" w:hAnsi="宋体" w:eastAsia="宋体" w:cs="宋体"/>
        </w:rPr>
      </w:pPr>
      <w:bookmarkStart w:id="0" w:name="_GoBack"/>
      <w:bookmarkEnd w:id="0"/>
      <w:r>
        <w:rPr>
          <w:rFonts w:hint="eastAsia" w:ascii="宋体" w:hAnsi="宋体" w:eastAsia="宋体" w:cs="宋体"/>
        </w:rPr>
        <w:t>3.1 首期架构</w:t>
      </w:r>
    </w:p>
    <w:p w14:paraId="711DAD68">
      <w:pPr>
        <w:spacing w:before="80" w:after="120"/>
        <w:ind w:left="0" w:right="0"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6309360" cy="2725420"/>
            <wp:effectExtent l="0" t="0" r="5715" b="8255"/>
            <wp:docPr id="5" name="Picture 5" descr="矢量表格：层次或用途、选用工具、实施职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矢量表格：层次或用途、选用工具、实施职责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2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8E9">
      <w:pPr>
        <w:spacing w:after="0"/>
        <w:rPr>
          <w:rFonts w:hint="eastAsia" w:ascii="宋体" w:hAnsi="宋体" w:eastAsia="宋体" w:cs="宋体"/>
        </w:rPr>
      </w:pPr>
    </w:p>
    <w:p w14:paraId="22640387">
      <w:pPr>
        <w:rPr>
          <w:rFonts w:hint="eastAsia" w:ascii="宋体" w:hAnsi="宋体" w:eastAsia="宋体" w:cs="宋体"/>
        </w:rPr>
      </w:pPr>
    </w:p>
    <w:sectPr>
      <w:footerReference r:id="rId5" w:type="default"/>
      <w:pgSz w:w="12240" w:h="15840"/>
      <w:pgMar w:top="1008" w:right="1152" w:bottom="936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QIJ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IJIC">
    <w:panose1 w:val="02000509000000000000"/>
    <w:charset w:val="88"/>
    <w:family w:val="auto"/>
    <w:pitch w:val="default"/>
    <w:sig w:usb0="00000001" w:usb1="0A000000" w:usb2="0000000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04895A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4F3FE5"/>
    <w:rsid w:val="785F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88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26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80" w:after="14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40" w:line="288" w:lineRule="auto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40" w:line="288" w:lineRule="auto"/>
    </w:pPr>
    <w:rPr>
      <w:rFonts w:asciiTheme="majorHAnsi" w:hAnsiTheme="majorHAnsi" w:eastAsiaTheme="majorEastAsia" w:cstheme="majorBidi"/>
      <w:i/>
      <w:iCs/>
      <w:color w:val="000000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40" w:line="288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emf"/><Relationship Id="rId8" Type="http://schemas.openxmlformats.org/officeDocument/2006/relationships/image" Target="media/image2.svg"/><Relationship Id="rId7" Type="http://schemas.openxmlformats.org/officeDocument/2006/relationships/image" Target="media/image1.emf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0.svg"/><Relationship Id="rId15" Type="http://schemas.openxmlformats.org/officeDocument/2006/relationships/image" Target="media/image9.emf"/><Relationship Id="rId14" Type="http://schemas.openxmlformats.org/officeDocument/2006/relationships/image" Target="media/image8.svg"/><Relationship Id="rId13" Type="http://schemas.openxmlformats.org/officeDocument/2006/relationships/image" Target="media/image7.emf"/><Relationship Id="rId12" Type="http://schemas.openxmlformats.org/officeDocument/2006/relationships/image" Target="media/image6.svg"/><Relationship Id="rId11" Type="http://schemas.openxmlformats.org/officeDocument/2006/relationships/image" Target="media/image5.emf"/><Relationship Id="rId10" Type="http://schemas.openxmlformats.org/officeDocument/2006/relationships/image" Target="media/image4.sv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349</Words>
  <Characters>356</Characters>
  <Lines>0</Lines>
  <Paragraphs>0</Paragraphs>
  <TotalTime>4</TotalTime>
  <ScaleCrop>false</ScaleCrop>
  <LinksUpToDate>false</LinksUpToDate>
  <CharactersWithSpaces>366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周翊睿</dc:creator>
  <dc:description>generated by python-docx</dc:description>
  <cp:lastModifiedBy>周翊睿</cp:lastModifiedBy>
  <dcterms:modified xsi:type="dcterms:W3CDTF">2026-10-22T05:06:09Z</dcterms:modified>
  <dc:subject>数据预测与规则建议平台实施方案</dc:subject>
  <dc:title>公共管理决策支持平台建设与实现方案项目书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eyJoZGlkIjoiMzEwNTM5NzYwMDRjMzkwZTVkZjY2ODkwMGIxNGU0OTUiLCJ1c2VySWQiOiIxNjYyNDgwMDk3In0=</vt:lpwstr>
  </property>
  <property fmtid="{D5CDD505-2E9C-101B-9397-08002B2CF9AE}" pid="3" name="KSOProductBuildVer">
    <vt:lpwstr>2052-12.1.0.29161</vt:lpwstr>
  </property>
  <property fmtid="{D5CDD505-2E9C-101B-9397-08002B2CF9AE}" pid="4" name="ICV">
    <vt:lpwstr>CEC58A4375BD4D68A8155DD40F1ED38F_13</vt:lpwstr>
  </property>
</Properties>
</file>