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FC32F">
      <w:pPr>
        <w:pStyle w:val="31"/>
      </w:pPr>
      <w:r>
        <w:t>星火档案创意网站设计方案</w:t>
      </w:r>
    </w:p>
    <w:p w14:paraId="7F34A00E">
      <w:r>
        <w:t>参赛主题  长征万里，薪火千秋    ｜    方向  创意网站</w:t>
      </w:r>
    </w:p>
    <w:p w14:paraId="1EBCDACE">
      <w:r>
        <w:t>以现有首页和资料库为基础，做一段可探索的长征视觉叙事。先完成时间、路线、事件联动的核心体验，再扩展后台；资料库承担来源支撑与延伸阅读。</w:t>
      </w:r>
    </w:p>
    <w:p w14:paraId="00F31063">
      <w:pPr>
        <w:pStyle w:val="3"/>
      </w:pPr>
      <w:r>
        <w:t>一  现有基础与设计重点</w:t>
      </w:r>
    </w:p>
    <w:p w14:paraId="0FF6B9D1">
      <w:r>
        <w:t>已有两页网站、12个可点击路线节点、多路红军示意，以及含156条记录的搜索筛选资料库。继续沿用红色、深色、纸感与山河意象，保留概念插画的非历史照片标识。</w:t>
      </w:r>
    </w:p>
    <w:p w14:paraId="406A7B75">
      <w:r>
        <w:t>核心创意：同一时刻，不同征途。用户切换部队、拖动时间轴或点击事件，路线高亮、场景画面与事件说明同步变化，理解各部队的不同经历与最终会师。路线示意与精确地理轨迹应明确区分。</w:t>
      </w:r>
    </w:p>
    <w:p w14:paraId="14BC724A">
      <w:pPr>
        <w:pStyle w:val="3"/>
      </w:pPr>
      <w:r>
        <w:t>二  页面与交互方案</w:t>
      </w:r>
    </w:p>
    <w:p w14:paraId="47564043">
      <w:bookmarkStart w:id="0" w:name="_GoBack"/>
      <w:bookmarkEnd w:id="0"/>
    </w:p>
    <w:p w14:paraId="076538D2">
      <w:pPr>
        <w:pStyle w:val="3"/>
      </w:pPr>
      <w:r>
        <w:t>三  技术范围与可扩展性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4337"/>
        <w:gridCol w:w="4337"/>
      </w:tblGrid>
      <w:tr w14:paraId="3A63D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403E86">
            <w:pPr>
              <w:spacing w:after="40" w:line="252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25625">
            <w:pPr>
              <w:spacing w:after="40" w:line="252" w:lineRule="auto"/>
            </w:pPr>
            <w:r>
              <w:rPr>
                <w:b/>
                <w:sz w:val="18"/>
              </w:rPr>
              <w:t>首版必做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FC2D4">
            <w:pPr>
              <w:spacing w:after="40" w:line="252" w:lineRule="auto"/>
            </w:pPr>
            <w:r>
              <w:rPr>
                <w:b/>
                <w:sz w:val="18"/>
              </w:rPr>
              <w:t>后续可选</w:t>
            </w:r>
          </w:p>
        </w:tc>
      </w:tr>
      <w:tr w14:paraId="6A341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89D3D">
            <w:pPr>
              <w:spacing w:after="40" w:line="252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7D756">
            <w:pPr>
              <w:spacing w:after="40" w:line="252" w:lineRule="auto"/>
            </w:pPr>
            <w:r>
              <w:rPr>
                <w:b w:val="0"/>
                <w:sz w:val="18"/>
              </w:rPr>
              <w:t>HTML、CSS、JavaScript；实现路线与时间联动、深链接、菜单、响应式和加载优化。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1C55CB">
            <w:pPr>
              <w:spacing w:after="40" w:line="252" w:lineRule="auto"/>
            </w:pPr>
            <w:r>
              <w:rPr>
                <w:b w:val="0"/>
                <w:sz w:val="18"/>
              </w:rPr>
              <w:t>按需要迁移Vue或React；增加场景转场、阅读进度保存。</w:t>
            </w:r>
          </w:p>
        </w:tc>
      </w:tr>
      <w:tr w14:paraId="4ECCE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AA8A99">
            <w:pPr>
              <w:spacing w:after="40" w:line="252" w:lineRule="auto"/>
            </w:pPr>
            <w:r>
              <w:rPr>
                <w:b w:val="0"/>
                <w:sz w:val="18"/>
              </w:rPr>
              <w:t>数据层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8672D">
            <w:pPr>
              <w:spacing w:after="40" w:line="252" w:lineRule="auto"/>
            </w:pPr>
            <w:r>
              <w:rPr>
                <w:b w:val="0"/>
                <w:sz w:val="18"/>
              </w:rPr>
              <w:t>把内嵌记录整理为JSON，统一事件ID、时间、地点、部队、摘要、来源及关联素材。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31FF7">
            <w:pPr>
              <w:spacing w:after="40" w:line="252" w:lineRule="auto"/>
            </w:pPr>
            <w:r>
              <w:rPr>
                <w:b w:val="0"/>
                <w:sz w:val="18"/>
              </w:rPr>
              <w:t>增加路线点位、人物关系与核验日期，支持更多专题复用。</w:t>
            </w:r>
          </w:p>
        </w:tc>
      </w:tr>
      <w:tr w14:paraId="0A280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9D820">
            <w:pPr>
              <w:spacing w:after="40" w:line="252" w:lineRule="auto"/>
            </w:pPr>
            <w:r>
              <w:rPr>
                <w:b w:val="0"/>
                <w:sz w:val="18"/>
              </w:rPr>
              <w:t>后端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A2E63">
            <w:pPr>
              <w:spacing w:after="40" w:line="252" w:lineRule="auto"/>
            </w:pPr>
            <w:r>
              <w:rPr>
                <w:b w:val="0"/>
                <w:sz w:val="18"/>
              </w:rPr>
              <w:t>首版可不开发，静态部署即可演示全部核心体验。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BE66D">
            <w:pPr>
              <w:spacing w:after="40" w:line="252" w:lineRule="auto"/>
            </w:pPr>
            <w:r>
              <w:rPr>
                <w:b w:val="0"/>
                <w:sz w:val="18"/>
              </w:rPr>
              <w:t>提供事件与来源查询API、内容管理及发布功能；可用Node.js实现。</w:t>
            </w:r>
          </w:p>
        </w:tc>
      </w:tr>
      <w:tr w14:paraId="078EC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425A3">
            <w:pPr>
              <w:spacing w:after="40" w:line="252" w:lineRule="auto"/>
            </w:pPr>
            <w:r>
              <w:rPr>
                <w:b w:val="0"/>
                <w:sz w:val="18"/>
              </w:rPr>
              <w:t>数据库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34B38">
            <w:pPr>
              <w:spacing w:after="40" w:line="252" w:lineRule="auto"/>
            </w:pPr>
            <w:r>
              <w:rPr>
                <w:b w:val="0"/>
                <w:sz w:val="18"/>
              </w:rPr>
              <w:t>首版不必引入，JSON足够支撑当前规模。</w:t>
            </w:r>
          </w:p>
        </w:tc>
        <w:tc>
          <w:tcPr>
            <w:tcW w:w="43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7E37C">
            <w:pPr>
              <w:spacing w:after="40" w:line="252" w:lineRule="auto"/>
            </w:pPr>
            <w:r>
              <w:rPr>
                <w:b w:val="0"/>
                <w:sz w:val="18"/>
              </w:rPr>
              <w:t>有后台维护需求时用SQLite，保存事件、部队、来源、素材及关联关系；扩大后可迁移PostgreSQL。</w:t>
            </w:r>
          </w:p>
        </w:tc>
      </w:tr>
    </w:tbl>
    <w:p w14:paraId="2AD51E03">
      <w:r>
        <w:t>实施原则：前端统一通过数据读取模块取数，便于以后将JSON替换为API。地图、动画等功能库须注明用途，避免使用赛事禁止的预设样式库。</w:t>
      </w:r>
    </w:p>
    <w:p w14:paraId="46167789">
      <w:pPr>
        <w:pStyle w:val="3"/>
      </w:pPr>
      <w:r>
        <w:t>四  后续工作顺序</w:t>
      </w:r>
    </w:p>
    <w:p w14:paraId="77F360CA">
      <w:r>
        <w:t>1  先修通：修复档案页移动菜单、筛选与详情同步；实现首页事件直达对应档案；核验核心节点及来源。</w:t>
      </w:r>
    </w:p>
    <w:p w14:paraId="6A819E04">
      <w:r>
        <w:t>2  做核心：完成中央红军时间与路线联动，补部队字段及对应素材，再扩展多路会师展示。</w:t>
      </w:r>
    </w:p>
    <w:p w14:paraId="6A6E2672">
      <w:r>
        <w:t>3  做精细：打磨五章视觉与交互反馈，压缩图片、拆分重复内嵌数据，检查小屏和慢网体验。</w:t>
      </w:r>
    </w:p>
    <w:p w14:paraId="0A8B77B7">
      <w:r>
        <w:t>4  做提交：按声明尺寸及Chrome 129验证；补README.MD、设计说明、依赖用途和素材来源，整理完整及匿名版本。核心体验稳定后，再考虑后台加分项。</w:t>
      </w:r>
    </w:p>
    <w:p w14:paraId="14D00003"/>
    <w:sectPr>
      <w:pgSz w:w="11906" w:h="16838"/>
      <w:pgMar w:top="935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QIJ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IJIC">
    <w:panose1 w:val="02000509000000000000"/>
    <w:charset w:val="88"/>
    <w:family w:val="auto"/>
    <w:pitch w:val="default"/>
    <w:sig w:usb0="00000001" w:usb1="0A000000" w:usb2="00000000" w:usb3="00000000" w:csb0="001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4F3"/>
    <w:rsid w:val="0029639D"/>
    <w:rsid w:val="00326F90"/>
    <w:rsid w:val="00AA1D8D"/>
    <w:rsid w:val="00B47730"/>
    <w:rsid w:val="00CB0664"/>
    <w:rsid w:val="00FC693F"/>
    <w:rsid w:val="0927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00" w:line="269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69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00" w:line="269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929</Words>
  <Characters>1001</Characters>
  <Lines>0</Lines>
  <Paragraphs>0</Paragraphs>
  <TotalTime>5</TotalTime>
  <ScaleCrop>false</ScaleCrop>
  <LinksUpToDate>false</LinksUpToDate>
  <CharactersWithSpaces>1030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周翊睿</cp:lastModifiedBy>
  <dcterms:modified xsi:type="dcterms:W3CDTF">2026-10-21T12:10:11Z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eyJoZGlkIjoiMzEwNTM5NzYwMDRjMzkwZTVkZjY2ODkwMGIxNGU0OTUiLCJ1c2VySWQiOiIxNjYyNDgwMDk3In0=</vt:lpwstr>
  </property>
  <property fmtid="{D5CDD505-2E9C-101B-9397-08002B2CF9AE}" pid="3" name="KSOProductBuildVer">
    <vt:lpwstr>2052-12.1.0.29161</vt:lpwstr>
  </property>
  <property fmtid="{D5CDD505-2E9C-101B-9397-08002B2CF9AE}" pid="4" name="ICV">
    <vt:lpwstr>AA55F215A5D9446F969365CD7BF6C5E3_13</vt:lpwstr>
  </property>
</Properties>
</file>