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Gabonaféle (kivéve: rizs), hüvelyes növény, olajos mag termesztése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Rostnövénytermesztés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Folyamatos munkarend (hétvégével, éjszakával, leállás nélkül)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Dohánytermesztés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Szőlőtermesztés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24/48 órás készenléti munkarend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Teszt telephely 1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12,800.00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9,200.00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9,600.00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9,800.00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11,500.00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14,200.00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10,500.00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12,200.00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15,500.00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Teszt telephely 2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12,800.00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9,200.00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9,600.00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9,800.00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11,500.00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14,200.00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10,500.00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12,200.00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${consumption_month_row#2#12}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15,500.00</w:t>
            </w:r>
          </w:p>
        </w:tc>
      </w:tr>
    </w:tbl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2026.09.17-n elérhető legtávolabbi energiahordozó egységárak:</w:t>
      </w:r>
    </w:p>
    <w:p w14:paraId="55328465" w14:textId="77777777" w:rsidR="008D7005" w:rsidRDefault="00000000">
      <w:r>
        <w:t>Földgáz: 77,02 EUR/MWh</w:t>
      </w:r>
    </w:p>
    <w:p w14:paraId="0E0DED63" w14:textId="77777777" w:rsidR="008D7005" w:rsidRDefault="00000000">
      <w:r>
        <w:t>Villamos energia:  167,18 EUR/MWh.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