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Energetikai audit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az energiahatékonyságról szóló 2015. évi LVII. törvény alapján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Tartalomjegyzék</w:t>
      </w:r>
    </w:p>
    <w:sdt>
      <w:sdtPr>
        <w:id w:val="138379833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poaunr5vl9e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Vezetői összefoglaló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yleb9oakg6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Vállalkozás bemutatása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judf6aiosh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Fogyasztási adatok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Aptos" w:cs="Aptos" w:eastAsia="Aptos" w:hAnsi="Apto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2r77tg88wi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Mérési hálózatok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poaunr5vl9ew" w:id="0"/>
      <w:bookmarkEnd w:id="0"/>
      <w:r w:rsidDel="00000000" w:rsidR="00000000" w:rsidRPr="00000000">
        <w:rPr>
          <w:rtl w:val="0"/>
        </w:rPr>
        <w:t xml:space="preserve">Vezetői összefoglaló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A ${company_name} mindamellett, hogy eleget kíván tenni a számára is kötelezően előírt, az energiahatékonyságról szóló 2015. évi LVII. törvényben foglalt energetikai auditálási kötelezettségeinek, egyúttal a hosszabb távú céljainak elérése érdekében meg kívánja vizsgálni, hogy jelenlegi magyarországi ${telephelyein} milyen energetikai fejlesztési potenciálok találhatóak. A Balajti Energetika Kft. ezen veszteségfeltáró auditálási feladatra adott ajánlatával elnyerte a munkát, az alábbi tanulmány ezen elkészült energiahatékonysági audit írásos dokumentációja.</w:t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 ${company_name} az ${audit_interval} időszakban az alábbi fogyasztásokat realizálta:</w:t>
      </w:r>
      <w:r w:rsidDel="00000000" w:rsidR="00000000" w:rsidRPr="00000000">
        <w:rPr>
          <w:rtl w:val="0"/>
        </w:rPr>
      </w:r>
    </w:p>
    <w:tbl>
      <w:tblPr>
        <w:tblStyle w:val="Table1"/>
        <w:tblW w:w="1025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0"/>
        <w:gridCol w:w="2233"/>
        <w:gridCol w:w="2166"/>
        <w:gridCol w:w="2126"/>
        <w:gridCol w:w="1859"/>
        <w:tblGridChange w:id="0">
          <w:tblGrid>
            <w:gridCol w:w="1870"/>
            <w:gridCol w:w="2233"/>
            <w:gridCol w:w="2166"/>
            <w:gridCol w:w="2126"/>
            <w:gridCol w:w="1859"/>
          </w:tblGrid>
        </w:tblGridChange>
      </w:tblGrid>
      <w:tr>
        <w:trPr>
          <w:cantSplit w:val="0"/>
          <w:tblHeader w:val="0"/>
        </w:trPr>
        <w:tc>
          <w:tcPr>
            <w:shd w:fill="adadad" w:val="clear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0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Összesen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${carrier}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${carrier_building}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${carrier_product}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${carrier_vehicle}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${carrier_total}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A ${company_name} vizsgálata alapján az auditor az alábbi megtakarítási potenciálokat találta:</w:t>
      </w:r>
    </w:p>
    <w:p w:rsidR="00000000" w:rsidDel="00000000" w:rsidP="00000000" w:rsidRDefault="00000000" w:rsidRPr="00000000" w14:paraId="00000019">
      <w:pPr>
        <w:pStyle w:val="Heading1"/>
        <w:rPr/>
      </w:pPr>
      <w:bookmarkStart w:colFirst="0" w:colLast="0" w:name="_jyleb9oakg65" w:id="1"/>
      <w:bookmarkEnd w:id="1"/>
      <w:r w:rsidDel="00000000" w:rsidR="00000000" w:rsidRPr="00000000">
        <w:rPr>
          <w:rtl w:val="0"/>
        </w:rPr>
        <w:t xml:space="preserve">Vállalkozás bemutatása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A(z) ${company_name}-t ${foundation_year}-ban/ben alapították, ${owner_percentage}  tulajdonban álló vállalkozás.  Fő tevékenysége a ${company_product}. Székhelye a  ${company_place} alatt van.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 ${data_year} év adatai alapján az alkalmazotti létszáma ${employee_count} fő, a ${data_year} évi árbevétele ${profit} volt. Az audit készítésének idején a telephely(ek)en az alábbi tevékenységek és munkarendek kerültek megállapításra: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${complex_data}</w:t>
      </w:r>
    </w:p>
    <w:p w:rsidR="00000000" w:rsidDel="00000000" w:rsidP="00000000" w:rsidRDefault="00000000" w:rsidRPr="00000000" w14:paraId="0000001D">
      <w:pPr>
        <w:pStyle w:val="Heading1"/>
        <w:rPr/>
      </w:pPr>
      <w:bookmarkStart w:colFirst="0" w:colLast="0" w:name="_1judf6aiosh8" w:id="2"/>
      <w:bookmarkEnd w:id="2"/>
      <w:r w:rsidDel="00000000" w:rsidR="00000000" w:rsidRPr="00000000">
        <w:rPr>
          <w:rtl w:val="0"/>
        </w:rPr>
        <w:t xml:space="preserve">Fogyasztási adatok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 ${company_name} ${audit_interval} energiafogyasztási adatait az alábbi táblázatok foglalják össze: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${standings_data_by_complex}</w:t>
      </w:r>
    </w:p>
    <w:p w:rsidR="00000000" w:rsidDel="00000000" w:rsidP="00000000" w:rsidRDefault="00000000" w:rsidRPr="00000000" w14:paraId="00000020">
      <w:pPr>
        <w:pStyle w:val="Heading1"/>
        <w:rPr/>
      </w:pPr>
      <w:bookmarkStart w:colFirst="0" w:colLast="0" w:name="_pgil67bhu4rv" w:id="3"/>
      <w:bookmarkEnd w:id="3"/>
      <w:r w:rsidDel="00000000" w:rsidR="00000000" w:rsidRPr="00000000">
        <w:rPr>
          <w:rtl w:val="0"/>
        </w:rPr>
        <w:t xml:space="preserve">Mérési hálózatok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 ${company_name} az alábbi mérőkkel, illetve számított fogyasztásokkal rendelkezik:</w:t>
      </w:r>
    </w:p>
    <w:p w:rsidR="00000000" w:rsidDel="00000000" w:rsidP="00000000" w:rsidRDefault="00000000" w:rsidRPr="00000000" w14:paraId="00000022">
      <w:pPr>
        <w:rPr>
          <w:i w:val="1"/>
          <w:iCs w:val="1"/>
        </w:rPr>
      </w:pPr>
      <w:r w:rsidDel="00000000" w:rsidR="00000000" w:rsidRPr="00000000">
        <w:rPr>
          <w:rtl w:val="0"/>
        </w:rPr>
        <w:t xml:space="preserve">${standing_hierarchy}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4253" w:hanging="425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r w:rsidDel="00000000" w:rsidR="00000000" w:rsidRPr="00000000">
        <w:rPr>
          <w:rtl w:val="0"/>
        </w:rPr>
        <w:t xml:space="preserve">Költségek kalkulációja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 ${company_name} energiaköltségeinek vizsgálata során az alábbi tényértékeket tudtuk rögzíteni: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Az energiaköltségek vizsgálata során ${fine} Ft összeget tártunk fel, mint felelős gazdálkodással és odafigyeléssel megtakarítható költség. A költségek vizsgálatából az energiahordozók fajlagos értékei: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Megtérülési számításainkban a földgáz és villamos energia esetében az amszterdami földgáz-, és villamosenergia tőzsde aktuálisan legtávolabbi időpontra leköthető egységárait vesszük alapul, egyéb energiahordozók esetében a &lt;TÁBLÁZAT MEGNEVEZÉSE&gt; táblázat fajlagos energiahordozó költségeivel kalkulálunk. Az auditkészítés időpontjában, azaz ${current_date}-n elérhető legtávolabbi energiahordozó egységárak: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Földgáz: ${natural_gas_price} EUR/MWh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Villamos energia:  ${electric_energy_price}EUR/MWh.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Az érvényes Euro árfolyam: ${eur_huf_rate} Ft/EURO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Az energiahordozók fajlagos egységárába természetesen be kell, hogy épüljenek egyéb költségek (a &lt;TÁBLÁZAT MEGNEVEZÉSE&gt; az auditkészítés időpontjában érvényes, piaci és hatósági árszabások alapján kialakult tapasztalati értékek):</w:t>
      </w:r>
    </w:p>
    <w:tbl>
      <w:tblPr>
        <w:tblStyle w:val="Table2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68"/>
        <w:gridCol w:w="2716"/>
        <w:tblGridChange w:id="0">
          <w:tblGrid>
            <w:gridCol w:w="6068"/>
            <w:gridCol w:w="271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Földgáz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Tárolási / kiegyenlítési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Szállítás / rendszerhasználat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7,5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 + egyéb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 / mérlegkör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15,0 Ft/kWh</w:t>
            </w:r>
          </w:p>
        </w:tc>
      </w:tr>
    </w:tbl>
    <w:p w:rsidR="00000000" w:rsidDel="00000000" w:rsidP="00000000" w:rsidRDefault="00000000" w:rsidRPr="00000000" w14:paraId="0000003C">
      <w:pPr>
        <w:rPr>
          <w:rFonts w:ascii="Aptos" w:cs="Aptos" w:eastAsia="Aptos" w:hAnsi="Aptos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69"/>
        <w:gridCol w:w="2915"/>
        <w:tblGridChange w:id="0">
          <w:tblGrid>
            <w:gridCol w:w="5869"/>
            <w:gridCol w:w="291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Villamos energia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 és finanszírozás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Profilozási és menetrendezési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6,0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Kiegyenlítőenergia- és mérlegkörköltség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EKR- és egyéb kereskedői kötelezettségek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Rendszerhasználati díjak (átlagos)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15,0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0,415 Ft/kWh</w:t>
            </w:r>
          </w:p>
        </w:tc>
      </w:tr>
      <w:tr>
        <w:trPr>
          <w:cantSplit w:val="0"/>
          <w:trHeight w:val="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30,915 Ft/kWh</w:t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Tehát a számításokban használt földgáz-, és villamos energia nettó fajlagos egységár meghatározása: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${natural_gas_price} Ft/kWh + 15 Ft/kWh = ${natural_gas_specific} Ft/kWh földgázra,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 villamos energia esetében pedig ${electric_energy_price} Ft/kWh + 30,915 Ft/kWh =  ${electric_energy_specific} Ft/kWh.</w:t>
      </w:r>
    </w:p>
    <w:p w:rsidR="00000000" w:rsidDel="00000000" w:rsidP="00000000" w:rsidRDefault="00000000" w:rsidRPr="00000000" w14:paraId="00000051">
      <w:pPr>
        <w:pStyle w:val="Heading1"/>
        <w:rPr/>
      </w:pPr>
      <w:r w:rsidDel="00000000" w:rsidR="00000000" w:rsidRPr="00000000">
        <w:rPr>
          <w:rtl w:val="0"/>
        </w:rPr>
        <w:t xml:space="preserve">Pénzügyi környezet kalkuláció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Egy energetikai beruházás értékelni szükséges, hogy: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– hogyan alakulnak az energiaárak;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– van-e kockázata, hogy teljesül a tervezett energiamegtakarítás;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– milyen üzemeltetési és karbantartási költségek merülnek fel;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– csökken-e idővel a berendezés/technológia teljesítménye, hatékonysága;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– milyen hosszú a berendezés/technológia élettartama, és lesz-e maradványértéke;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– saját forrásból vagy hitelből történik-e a finanszírozás;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– milyen kockázatot hajlandó vállalni a beruházó;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– és milyen más befektetési lehetőségről mond le a projekt kedvéért.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Teljes, részletekbe menő, érzékenységvizsgálattal támogatott számítási szcenáriókat nem lehetséges egy veszteségfeltáró energetikai audit során végezni, így számításaink során az energiaárak változásával, a tervezett megtakarítás bizonytalanságával, a karbantartási költségek esetleges változásával, teljesítménycsökkenéssel, maradványértékkel nem számolunk.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Az egyszerűsített (a bekerülési költség és az évenként elért energiamegtakarítás összegének egymással történő elosztása) számítások során a 3 éven belüli megtérüléssel járó beruházások esetében nem végzünk NPV és IRR kalkulációt. A 3 év feletti értékek esetében viszont szükséges NPV és IRR kalkuláció.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br w:type="textWrapping"/>
        <w:t xml:space="preserve">A pénznek ára és időértéke van, amely kalkulálható. A megfelelő diszkontráta meghatározásához figyelembe venni a finanszírozási költséget, a BUBOR-t, az állampapírhozamokat, az MNB kamatkörnyezetét, valamint a projekt saját kockázatait. Ennek megfelelően súlyozott kamatrátát alkalmazunk.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Kamatráta meghatározása: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𝑟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 x BUBOR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 x Államkötvény hozam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 x MNB alapkamat + kockázati prémium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: 30%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: 50%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: 20%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Az audit készítésének időpontjában a következő adatok állnak rendelkezésre: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BUBOR = ${bubor_rate}%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Államkötvény hozam = ${bond_rate}% 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MNB alapkamat: ${mnb_rate}%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Számításainkban a kockázati prémiumnak 3%-os értéket veszünk fel (közepes, átlagos kockázat).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 kamatráta az auditírás időpontjában tehát ${interest_rate}%.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A megtérülés számításánál NPV-t (nettó jelenértéket), és IRR-t (belső megtérülési rátát) számolunk. 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Megtérülés számítása: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NPV=∑(CF</w:t>
      </w:r>
      <w:r w:rsidDel="00000000" w:rsidR="00000000" w:rsidRPr="00000000">
        <w:rPr>
          <w:vertAlign w:val="subscript"/>
          <w:rtl w:val="0"/>
        </w:rPr>
        <w:t xml:space="preserve">t</w:t>
      </w:r>
      <w:r w:rsidDel="00000000" w:rsidR="00000000" w:rsidRPr="00000000">
        <w:rPr>
          <w:rtl w:val="0"/>
        </w:rPr>
        <w:t xml:space="preserve"> /(1+r)</w:t>
      </w:r>
      <w:r w:rsidDel="00000000" w:rsidR="00000000" w:rsidRPr="00000000">
        <w:rPr>
          <w:vertAlign w:val="superscript"/>
          <w:rtl w:val="0"/>
        </w:rPr>
        <w:t xml:space="preserve">t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​​)−Beruházási költség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𝐶𝐹</w:t>
      </w:r>
      <w:r w:rsidDel="00000000" w:rsidR="00000000" w:rsidRPr="00000000">
        <w:rPr>
          <w:rFonts w:ascii="Cambria Math" w:cs="Cambria Math" w:eastAsia="Cambria Math" w:hAnsi="Cambria Math"/>
          <w:vertAlign w:val="subscript"/>
          <w:rtl w:val="0"/>
        </w:rPr>
        <w:t xml:space="preserve">𝑡</w:t>
      </w:r>
      <w:r w:rsidDel="00000000" w:rsidR="00000000" w:rsidRPr="00000000">
        <w:rPr>
          <w:rtl w:val="0"/>
        </w:rPr>
        <w:t xml:space="preserve"> = éves cashflow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t = évek száma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A projektek megítélésénél Ha az IRR&gt;r akkor megéri megcsinálni, ha IRR&lt;r, akkor nem.</w:t>
      </w:r>
    </w:p>
    <w:p w:rsidR="00000000" w:rsidDel="00000000" w:rsidP="00000000" w:rsidRDefault="00000000" w:rsidRPr="00000000" w14:paraId="00000076">
      <w:pPr>
        <w:pStyle w:val="Heading1"/>
        <w:rPr/>
      </w:pPr>
      <w:r w:rsidDel="00000000" w:rsidR="00000000" w:rsidRPr="00000000">
        <w:rPr>
          <w:rtl w:val="0"/>
        </w:rPr>
        <w:t xml:space="preserve">Épületek energetikai értékelése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A ${company_name}- az alábbi épületekkel rendelkezik: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${building_listing} </w:t>
      </w:r>
    </w:p>
    <w:p w:rsidR="00000000" w:rsidDel="00000000" w:rsidP="00000000" w:rsidRDefault="00000000" w:rsidRPr="00000000" w14:paraId="00000079">
      <w:pPr>
        <w:pStyle w:val="Heading1"/>
        <w:rPr/>
      </w:pPr>
      <w:r w:rsidDel="00000000" w:rsidR="00000000" w:rsidRPr="00000000">
        <w:rPr>
          <w:rtl w:val="0"/>
        </w:rPr>
        <w:t xml:space="preserve">Szállítás energetikai értékelése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A ${company_name} az alábbi járműveket üzemelteti: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${vehicle_listing}</w:t>
      </w:r>
    </w:p>
    <w:p w:rsidR="00000000" w:rsidDel="00000000" w:rsidP="00000000" w:rsidRDefault="00000000" w:rsidRPr="00000000" w14:paraId="0000007C">
      <w:pPr>
        <w:pStyle w:val="Heading1"/>
        <w:rPr/>
      </w:pPr>
      <w:bookmarkStart w:colFirst="0" w:colLast="0" w:name="_ah77jle03xqd" w:id="4"/>
      <w:bookmarkEnd w:id="4"/>
      <w:r w:rsidDel="00000000" w:rsidR="00000000" w:rsidRPr="00000000">
        <w:rPr>
          <w:rtl w:val="0"/>
        </w:rPr>
        <w:t xml:space="preserve">${technology_title}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${technology_content}</w:t>
      </w:r>
    </w:p>
    <w:p w:rsidR="00000000" w:rsidDel="00000000" w:rsidP="00000000" w:rsidRDefault="00000000" w:rsidRPr="00000000" w14:paraId="0000007E">
      <w:pPr>
        <w:pStyle w:val="Heading1"/>
        <w:rPr/>
      </w:pPr>
      <w:r w:rsidDel="00000000" w:rsidR="00000000" w:rsidRPr="00000000">
        <w:rPr>
          <w:rtl w:val="0"/>
        </w:rPr>
        <w:t xml:space="preserve">A fogyasztások felosztása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A ${company_name} az ismertetett rendszerek mért vagy számított fogyasztásai alapján az alábbi energiafogyasztási profillal rendelkezik:</w:t>
      </w:r>
    </w:p>
    <w:tbl>
      <w:tblPr>
        <w:tblStyle w:val="Table4"/>
        <w:tblW w:w="8296.0" w:type="dxa"/>
        <w:jc w:val="left"/>
        <w:tblInd w:w="7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54"/>
        <w:gridCol w:w="2007"/>
        <w:gridCol w:w="2104"/>
        <w:gridCol w:w="2031"/>
        <w:tblGridChange w:id="0">
          <w:tblGrid>
            <w:gridCol w:w="2154"/>
            <w:gridCol w:w="2007"/>
            <w:gridCol w:w="2104"/>
            <w:gridCol w:w="203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80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81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82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83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${carrier2_building}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${carrier2_product}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${carrier2_vehicle}</w:t>
            </w:r>
          </w:p>
        </w:tc>
      </w:tr>
    </w:tbl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center"/>
        <w:rPr/>
      </w:pPr>
      <w:r w:rsidDel="00000000" w:rsidR="00000000" w:rsidRPr="00000000">
        <w:rPr>
          <w:rtl w:val="0"/>
        </w:rPr>
        <w:t xml:space="preserve">${sankey_diagram}</w:t>
      </w:r>
    </w:p>
    <w:p w:rsidR="00000000" w:rsidDel="00000000" w:rsidP="00000000" w:rsidRDefault="00000000" w:rsidRPr="00000000" w14:paraId="0000008A">
      <w:pPr>
        <w:pStyle w:val="Heading1"/>
        <w:rPr/>
      </w:pPr>
      <w:r w:rsidDel="00000000" w:rsidR="00000000" w:rsidRPr="00000000">
        <w:rPr>
          <w:rtl w:val="0"/>
        </w:rPr>
        <w:t xml:space="preserve">Energia teljesítmény mutató meghatározása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Minden gazdálkodó szervezet esetében fontos, hogy ne önmagában kerüljön meghatározásra az energiafogyasztás. Az ETM (Energia Teljesítmény Mutató) olyan mérőszám, amely az energiafelhasználást egy releváns teljesítményjellemzőhöz – például termelési mennyiséghez, alapterülethez vagy üzemórához – viszonyítva teszi mérhetővé és összehasonlíthatóvá az energetikai teljesítményt. A ${company_name} gazdálkodásában ez a mutató a ${product_name}. A ${audit_interval} időszak ${product_name} számai az alábbi táblázat szerint alakultak:</w:t>
      </w:r>
    </w:p>
    <w:tbl>
      <w:tblPr>
        <w:tblStyle w:val="Table5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Az indexbe nem kerülnek beleszámításra az Épület és Szállítás jellegű fogyasztások, csak a Tevékenység energiafelhasználásai. Ezek alapján az ETM értéke ${ETM}. Minden jövőbeni, az energiahatékonyságot növelő technológiai beruházást ezen érték javulásában célszerű lemérni.</w:t>
      </w:r>
    </w:p>
    <w:p w:rsidR="00000000" w:rsidDel="00000000" w:rsidP="00000000" w:rsidRDefault="00000000" w:rsidRPr="00000000" w14:paraId="00000092">
      <w:pPr>
        <w:pStyle w:val="Heading1"/>
        <w:rPr/>
      </w:pPr>
      <w:r w:rsidDel="00000000" w:rsidR="00000000" w:rsidRPr="00000000">
        <w:rPr>
          <w:rtl w:val="0"/>
        </w:rPr>
        <w:t xml:space="preserve">Javaslatok és források</w:t>
      </w:r>
    </w:p>
    <w:sectPr>
      <w:foot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Cambria Math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Balajti Energetika Kft.</w:t>
      <w:tab/>
      <w:t xml:space="preserve">Balajti Zsolt </w:t>
      <w:tab/>
      <w:t xml:space="preserve">3066 Kutasó, Toldi u. 4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u"/>
      </w:rPr>
    </w:rPrDefault>
    <w:pPrDefault>
      <w:pPr>
        <w:spacing w:after="16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80" w:before="360" w:lineRule="auto"/>
    </w:pPr>
    <w:rPr>
      <w:b w:val="1"/>
      <w:bCs w:val="1"/>
      <w:color w:val="000000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