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Energetikai audit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az energiahatékonyságról szóló 2015. évi LVII. törvény alapján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Tartalomjegyzék</w:t>
      </w:r>
    </w:p>
    <w:sdt>
      <w:sdtPr>
        <w:id w:val="-60872488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49j73h9ehsd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Vezetői összefoglaló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ul79y5yra3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Vállalkozás bemutatása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m37u25addz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Fogyasztási adatok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nesa93jb31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Mérési hálózatok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49j73h9ehsdd" w:id="0"/>
      <w:bookmarkEnd w:id="0"/>
      <w:r w:rsidDel="00000000" w:rsidR="00000000" w:rsidRPr="00000000">
        <w:rPr>
          <w:rtl w:val="0"/>
        </w:rPr>
        <w:t xml:space="preserve">Vezetői összefoglaló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 ${company_name}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 Balajti Energetika Kft. ezen veszteségfeltáró auditálási feladatra adott ajánlatával elnyerte a munkát, az alábbi tanulmány ezen elkészült energiahatékonysági audit írásos dokumentációja.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 ${company_name} az ${audit_interval} időszakban az alábbi fogyasztásokat realizálta:</w:t>
      </w:r>
      <w:r w:rsidDel="00000000" w:rsidR="00000000" w:rsidRPr="00000000">
        <w:rPr>
          <w:rtl w:val="0"/>
        </w:rPr>
      </w:r>
    </w:p>
    <w:tbl>
      <w:tblPr>
        <w:tblStyle w:val="Table1"/>
        <w:tblW w:w="102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0"/>
        <w:gridCol w:w="2233"/>
        <w:gridCol w:w="2166"/>
        <w:gridCol w:w="2126"/>
        <w:gridCol w:w="1859"/>
        <w:tblGridChange w:id="0">
          <w:tblGrid>
            <w:gridCol w:w="1870"/>
            <w:gridCol w:w="2233"/>
            <w:gridCol w:w="2166"/>
            <w:gridCol w:w="2126"/>
            <w:gridCol w:w="1859"/>
          </w:tblGrid>
        </w:tblGridChange>
      </w:tblGrid>
      <w:tr>
        <w:trPr>
          <w:cantSplit w:val="0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Összesen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${carrier1}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${carrier1_building}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${carrier1_product}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${carrier1_vehicle}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${carrier1_total}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A ${company_name} vizsgálata alapján az auditor az alábbi megtakarítási potenciálokat találta:</w:t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mul79y5yra3n" w:id="1"/>
      <w:bookmarkEnd w:id="1"/>
      <w:r w:rsidDel="00000000" w:rsidR="00000000" w:rsidRPr="00000000">
        <w:rPr>
          <w:rtl w:val="0"/>
        </w:rPr>
        <w:t xml:space="preserve">Vállalkozás bemutatása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A(z) ${company_name}-t ${foundation_year}-ban/ben alapították, ${owner_percentage}  tulajdonban álló vállalkozás.  Fő tevékenysége a ${company_product}. Székhelye a  ${company_place} alatt van.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${data_year} év adatai alapján az alkalmazotti létszáma ${employee_count} fő, a ${data_year} évi árbevétele ${profit} volt. Az audit készítésének idején a telephely(ek)en az alábbi tevékenységek és munkarendek kerültek megállapításra: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${complex_data}</w:t>
      </w:r>
    </w:p>
    <w:p w:rsidR="00000000" w:rsidDel="00000000" w:rsidP="00000000" w:rsidRDefault="00000000" w:rsidRPr="00000000" w14:paraId="0000001D">
      <w:pPr>
        <w:pStyle w:val="Heading1"/>
        <w:rPr/>
      </w:pPr>
      <w:bookmarkStart w:colFirst="0" w:colLast="0" w:name="_7m37u25addz5" w:id="2"/>
      <w:bookmarkEnd w:id="2"/>
      <w:r w:rsidDel="00000000" w:rsidR="00000000" w:rsidRPr="00000000">
        <w:rPr>
          <w:rtl w:val="0"/>
        </w:rPr>
        <w:t xml:space="preserve">Fogyasztási adatok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${company_name} ${audit_interval} energiafogyasztási adatait az alábbi táblázatok foglalják össze: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${standings_data_by_complex}</w:t>
      </w:r>
    </w:p>
    <w:p w:rsidR="00000000" w:rsidDel="00000000" w:rsidP="00000000" w:rsidRDefault="00000000" w:rsidRPr="00000000" w14:paraId="00000020">
      <w:pPr>
        <w:pStyle w:val="Heading1"/>
        <w:rPr/>
      </w:pPr>
      <w:bookmarkStart w:colFirst="0" w:colLast="0" w:name="_xahlj777qf9x" w:id="3"/>
      <w:bookmarkEnd w:id="3"/>
      <w:r w:rsidDel="00000000" w:rsidR="00000000" w:rsidRPr="00000000">
        <w:rPr>
          <w:rtl w:val="0"/>
        </w:rPr>
        <w:t xml:space="preserve">Mérési hálózatok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 ${company_name} az alábbi mérőkkel, illetve számított fogyasztásokkal rendelkezik: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${standing_hierarchy}</w:t>
      </w:r>
    </w:p>
    <w:p w:rsidR="00000000" w:rsidDel="00000000" w:rsidP="00000000" w:rsidRDefault="00000000" w:rsidRPr="00000000" w14:paraId="0000002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Formátum: </w:t>
      </w:r>
    </w:p>
    <w:p w:rsidR="00000000" w:rsidDel="00000000" w:rsidP="00000000" w:rsidRDefault="00000000" w:rsidRPr="00000000" w14:paraId="00000024">
      <w:pPr>
        <w:ind w:left="4253" w:hanging="425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Főmérő 1</w:t>
        <w:tab/>
        <w:t xml:space="preserve">Fogyasztás</w:t>
      </w:r>
    </w:p>
    <w:p w:rsidR="00000000" w:rsidDel="00000000" w:rsidP="00000000" w:rsidRDefault="00000000" w:rsidRPr="00000000" w14:paraId="00000025">
      <w:pPr>
        <w:ind w:left="4253" w:hanging="353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Almérő 1</w:t>
        <w:tab/>
        <w:t xml:space="preserve">Fogyasztás</w:t>
      </w:r>
    </w:p>
    <w:p w:rsidR="00000000" w:rsidDel="00000000" w:rsidP="00000000" w:rsidRDefault="00000000" w:rsidRPr="00000000" w14:paraId="00000026">
      <w:pPr>
        <w:ind w:left="4253" w:hanging="353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Almérő 2</w:t>
        <w:tab/>
        <w:t xml:space="preserve">Fogyasztás</w:t>
      </w:r>
    </w:p>
    <w:p w:rsidR="00000000" w:rsidDel="00000000" w:rsidP="00000000" w:rsidRDefault="00000000" w:rsidRPr="00000000" w14:paraId="00000027">
      <w:pPr>
        <w:ind w:left="4253" w:hanging="425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Főmérő 2</w:t>
        <w:tab/>
        <w:t xml:space="preserve">Fogyasztás</w:t>
      </w:r>
    </w:p>
    <w:p w:rsidR="00000000" w:rsidDel="00000000" w:rsidP="00000000" w:rsidRDefault="00000000" w:rsidRPr="00000000" w14:paraId="00000028">
      <w:pPr>
        <w:ind w:left="4253" w:hanging="4253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Virtuális mérő 1</w:t>
        <w:tab/>
        <w:t xml:space="preserve">Fogyasztás</w:t>
      </w:r>
    </w:p>
    <w:p w:rsidR="00000000" w:rsidDel="00000000" w:rsidP="00000000" w:rsidRDefault="00000000" w:rsidRPr="00000000" w14:paraId="00000029">
      <w:pPr>
        <w:ind w:left="4253" w:hanging="425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rtl w:val="0"/>
        </w:rPr>
        <w:t xml:space="preserve">Költségek kalkulációja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 ${company_name} energiaköltségeinek vizsgálata során az alábbi tényértékeket tudtuk rögzíteni: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Az energiaköltségek vizsgálata során ${fine} Ft összeget tártunk fel, mint felelős gazdálkodással és odafigyeléssel megtakarítható költség. A költségek vizsgálatából az energiahordozók fajlagos értékei: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Megtérülési számításainkban a földgáz és villamos energia esetében az amszterdami földgáz-, és villamosenergia tőzsde aktuálisan legtávolabbi időpontra leköthető egységárait vesszük alapul, egyéb energiahordozók esetében a &lt;TÁBLÁZAT MEGNEVEZÉSE&gt; táblázat fajlagos energiahordozó költségeivel kalkulálunk. Az auditkészítés időpontjában, azaz ${current_date}-n elérhető legtávolabbi energiahordozó egységárak: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Földgáz: ${natural_gas_price} EUR/MWh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Villamos energia:  ${electric_energy_price}EUR/MWh.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Az érvényes Euro árfolyam: ${eur_huf_rate} Ft/EURO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Az energiahordozók fajlagos egységárába természetesen be kell, hogy épüljenek egyéb költségek (a &lt;TÁBLÁZAT MEGNEVEZÉSE&gt; az auditkészítés időpontjában érvényes, piaci és hatósági árszabások alapján kialakult tapasztalati értékek):</w:t>
      </w:r>
    </w:p>
    <w:tbl>
      <w:tblPr>
        <w:tblStyle w:val="Table2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68"/>
        <w:gridCol w:w="2716"/>
        <w:tblGridChange w:id="0">
          <w:tblGrid>
            <w:gridCol w:w="6068"/>
            <w:gridCol w:w="27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Földgáz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Tárolási / kiegyenlítési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Szállítás / rendszerhasználat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7,5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 + egyéb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 / mérlegkör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15,0 Ft/kWh</w:t>
            </w:r>
          </w:p>
        </w:tc>
      </w:tr>
    </w:tbl>
    <w:p w:rsidR="00000000" w:rsidDel="00000000" w:rsidP="00000000" w:rsidRDefault="00000000" w:rsidRPr="00000000" w14:paraId="00000042">
      <w:pPr>
        <w:rPr>
          <w:rFonts w:ascii="Aptos" w:cs="Aptos" w:eastAsia="Aptos" w:hAnsi="Aptos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69"/>
        <w:gridCol w:w="2915"/>
        <w:tblGridChange w:id="0">
          <w:tblGrid>
            <w:gridCol w:w="5869"/>
            <w:gridCol w:w="29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Villamos energia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 és finanszírozás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Profilozási és menetrendezési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6,0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Kiegyenlítőenergia- és mérlegkörköltség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EKR- és egyéb kereskedői kötelezettségek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Rendszerhasználati díjak (átlagos)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15,0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0,415 Ft/kWh</w:t>
            </w:r>
          </w:p>
        </w:tc>
      </w:tr>
      <w:tr>
        <w:trPr>
          <w:cantSplit w:val="0"/>
          <w:trHeight w:val="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30,915 Ft/kWh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Tehát a számításokban használt földgáz-, és villamos energia nettó fajlagos egységár meghatározása: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${natural_gas_price} Ft/kWh + 15 Ft/kWh = ${natural_gas_specific} Ft/kWh földgázra,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villamos energia esetében pedig ${electric_energy_price} Ft/kWh + 30,915 Ft/kWh =  ${electric_energy_specific} Ft/kWh.</w:t>
      </w:r>
    </w:p>
    <w:p w:rsidR="00000000" w:rsidDel="00000000" w:rsidP="00000000" w:rsidRDefault="00000000" w:rsidRPr="00000000" w14:paraId="00000057">
      <w:pPr>
        <w:pStyle w:val="Heading1"/>
        <w:rPr/>
      </w:pPr>
      <w:r w:rsidDel="00000000" w:rsidR="00000000" w:rsidRPr="00000000">
        <w:rPr>
          <w:rtl w:val="0"/>
        </w:rPr>
        <w:t xml:space="preserve">Pénzügyi környezet kalkuláció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Egy energetikai beruházás értékelni szükséges, hogy: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– hogyan alakulnak az energiaárak;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– van-e kockázata, hogy teljesül a tervezett energiamegtakarítás;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– milyen üzemeltetési és karbantartási költségek merülnek fel;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– csökken-e idővel a berendezés/technológia teljesítménye, hatékonysága;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– milyen hosszú a berendezés/technológia élettartama, és lesz-e maradványértéke;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– saját forrásból vagy hitelből történik-e a finanszírozás;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– milyen kockázatot hajlandó vállalni a beruházó;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– és milyen más befektetési lehetőségről mond le a projekt kedvéért.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br w:type="textWrapping"/>
        <w:t xml:space="preserve"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Kamatráta meghatározása: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𝑟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 x BUBOR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x Államkötvény hozam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 x MNB alapkamat + kockázati prémium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: 30%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: 50%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: 20%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Az audit készítésének időpontjában a következő adatok állnak rendelkezésre: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BUBOR = ${bubor_rate}%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Államkötvény hozam = ${bond_rate}% 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MNB alapkamat: ${mnb_rate}%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Számításainkban a kockázati prémiumnak 3%-os értéket veszünk fel (közepes, átlagos kockázat).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A kamatráta az auditírás időpontjában tehát ${interest_rate}%.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 megtérülés számításánál NPV-t (nettó jelenértéket), és IRR-t (belső megtérülési rátát) számolunk.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Megtérülés számítása: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NPV=∑(CF</w:t>
      </w:r>
      <w:r w:rsidDel="00000000" w:rsidR="00000000" w:rsidRPr="00000000">
        <w:rPr>
          <w:vertAlign w:val="subscript"/>
          <w:rtl w:val="0"/>
        </w:rPr>
        <w:t xml:space="preserve">t</w:t>
      </w:r>
      <w:r w:rsidDel="00000000" w:rsidR="00000000" w:rsidRPr="00000000">
        <w:rPr>
          <w:rtl w:val="0"/>
        </w:rPr>
        <w:t xml:space="preserve"> /(1+r)</w:t>
      </w:r>
      <w:r w:rsidDel="00000000" w:rsidR="00000000" w:rsidRPr="00000000">
        <w:rPr>
          <w:vertAlign w:val="superscript"/>
          <w:rtl w:val="0"/>
        </w:rPr>
        <w:t xml:space="preserve">t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​​)−Beruházási költség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𝐶𝐹</w:t>
      </w:r>
      <w:r w:rsidDel="00000000" w:rsidR="00000000" w:rsidRPr="00000000">
        <w:rPr>
          <w:rFonts w:ascii="Cambria Math" w:cs="Cambria Math" w:eastAsia="Cambria Math" w:hAnsi="Cambria Math"/>
          <w:vertAlign w:val="subscript"/>
          <w:rtl w:val="0"/>
        </w:rPr>
        <w:t xml:space="preserve">𝑡</w:t>
      </w:r>
      <w:r w:rsidDel="00000000" w:rsidR="00000000" w:rsidRPr="00000000">
        <w:rPr>
          <w:rtl w:val="0"/>
        </w:rPr>
        <w:t xml:space="preserve"> = éves cashflow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t = évek száma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A projektek megítélésénél Ha az IRR&gt;r akkor megéri megcsinálni, ha IRR&lt;r, akkor nem.</w:t>
      </w:r>
    </w:p>
    <w:p w:rsidR="00000000" w:rsidDel="00000000" w:rsidP="00000000" w:rsidRDefault="00000000" w:rsidRPr="00000000" w14:paraId="0000007C">
      <w:pPr>
        <w:pStyle w:val="Heading1"/>
        <w:rPr/>
      </w:pPr>
      <w:r w:rsidDel="00000000" w:rsidR="00000000" w:rsidRPr="00000000">
        <w:rPr>
          <w:rtl w:val="0"/>
        </w:rPr>
        <w:t xml:space="preserve">Épületek energetikai értékelése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 ${company_name}- az alábbi épületekkel rendelkezik:</w:t>
      </w:r>
    </w:p>
    <w:tbl>
      <w:tblPr>
        <w:tblStyle w:val="Table4"/>
        <w:tblW w:w="9016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2"/>
        <w:gridCol w:w="2369"/>
        <w:gridCol w:w="2158"/>
        <w:gridCol w:w="2417"/>
        <w:tblGridChange w:id="0">
          <w:tblGrid>
            <w:gridCol w:w="2072"/>
            <w:gridCol w:w="2369"/>
            <w:gridCol w:w="2158"/>
            <w:gridCol w:w="2417"/>
          </w:tblGrid>
        </w:tblGridChange>
      </w:tblGrid>
      <w:tr>
        <w:trPr>
          <w:cantSplit w:val="0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7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 megnevezése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7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Telephely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8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Kalkulált fajlagos energiafelhasználás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Besorolás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${building1_name}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${building1_complex}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${building1_calc}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Fejlesztendő/Megfelelő</w:t>
            </w:r>
          </w:p>
        </w:tc>
      </w:tr>
    </w:tbl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/>
      </w:pPr>
      <w:r w:rsidDel="00000000" w:rsidR="00000000" w:rsidRPr="00000000">
        <w:rPr>
          <w:rtl w:val="0"/>
        </w:rPr>
        <w:t xml:space="preserve">Szállítás energetikai értékelése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A ${company_name} az alábbi járműveket üzemelteti:</w:t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4"/>
        <w:gridCol w:w="2319"/>
        <w:gridCol w:w="2209"/>
        <w:gridCol w:w="2474"/>
        <w:tblGridChange w:id="0">
          <w:tblGrid>
            <w:gridCol w:w="2014"/>
            <w:gridCol w:w="2319"/>
            <w:gridCol w:w="2209"/>
            <w:gridCol w:w="2474"/>
          </w:tblGrid>
        </w:tblGridChange>
      </w:tblGrid>
      <w:tr>
        <w:trPr>
          <w:cantSplit w:val="0"/>
          <w:trHeight w:val="761" w:hRule="atLeast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Jármű megnevezése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8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Telephely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8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Kalkulált fajlagos energiafelhasználás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8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Besorolás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${vehicle1_name}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${vehicle1_complex}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${vehicle1_calc}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Fejlesztendő/Megfelelő</w:t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rPr/>
      </w:pPr>
      <w:r w:rsidDel="00000000" w:rsidR="00000000" w:rsidRPr="00000000">
        <w:rPr>
          <w:rtl w:val="0"/>
        </w:rPr>
        <w:t xml:space="preserve">${Technológiai alrendszerek}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(ha van, akkor történik itt bármi is, egyébként ezt a részt teljesen átugorja)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A ${company_name}-nál/nél az alábbi technológiai alrendszerek kerültek kialakításra:</w:t>
      </w:r>
    </w:p>
    <w:p w:rsidR="00000000" w:rsidDel="00000000" w:rsidP="00000000" w:rsidRDefault="00000000" w:rsidRPr="00000000" w14:paraId="00000095">
      <w:pPr>
        <w:pStyle w:val="Heading1"/>
        <w:rPr/>
      </w:pPr>
      <w:r w:rsidDel="00000000" w:rsidR="00000000" w:rsidRPr="00000000">
        <w:rPr>
          <w:rtl w:val="0"/>
        </w:rPr>
        <w:t xml:space="preserve">A fogyasztások felosztása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A ${company_name} az ismertetett rendszerek mért vagy számított fogyasztásai alapján az alábbi energiafogyasztási profillal rendelkezik:</w:t>
      </w:r>
    </w:p>
    <w:tbl>
      <w:tblPr>
        <w:tblStyle w:val="Table6"/>
        <w:tblW w:w="8296.0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4"/>
        <w:gridCol w:w="2007"/>
        <w:gridCol w:w="2104"/>
        <w:gridCol w:w="2031"/>
        <w:tblGridChange w:id="0">
          <w:tblGrid>
            <w:gridCol w:w="2154"/>
            <w:gridCol w:w="2007"/>
            <w:gridCol w:w="2104"/>
            <w:gridCol w:w="203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97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98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99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9A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Földgáz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Villamos energia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Távhő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PB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motorbenzin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gázolaj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szén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petrolkoksz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tüzifa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egyéb megújuló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${sankey_diagram}</w:t>
      </w:r>
    </w:p>
    <w:p w:rsidR="00000000" w:rsidDel="00000000" w:rsidP="00000000" w:rsidRDefault="00000000" w:rsidRPr="00000000" w14:paraId="000000C4">
      <w:pPr>
        <w:pStyle w:val="Heading1"/>
        <w:rPr/>
      </w:pPr>
      <w:r w:rsidDel="00000000" w:rsidR="00000000" w:rsidRPr="00000000">
        <w:rPr>
          <w:rtl w:val="0"/>
        </w:rPr>
        <w:t xml:space="preserve">Energia teljesítmény mutató meghatározása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Minden gazdálkodó szervezet esetében fontos, hogy ne önmagában kerüljön meghatározásra az energiafogyasztás. Az ETM (Energia Teljesítmény Mutató) olyan mérőszám, amely az energiafelhasználást egy releváns teljesítményjellemzőhöz – például termelési mennyiséghez, alapterülethez vagy üzemórához – viszonyítva teszi mérhetővé és összehasonlíthatóvá az energetikai teljesítményt. A ${company_name} gazdálkodásában ez a mutató a ${product_name}. A ${audit_interval} időszak ${product_name} számai az alábbi táblázat szerint alakultak:</w:t>
      </w:r>
    </w:p>
    <w:tbl>
      <w:tblPr>
        <w:tblStyle w:val="Table7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:rsidR="00000000" w:rsidDel="00000000" w:rsidP="00000000" w:rsidRDefault="00000000" w:rsidRPr="00000000" w14:paraId="000000CC">
      <w:pPr>
        <w:pStyle w:val="Heading1"/>
        <w:rPr/>
      </w:pPr>
      <w:r w:rsidDel="00000000" w:rsidR="00000000" w:rsidRPr="00000000">
        <w:rPr>
          <w:rtl w:val="0"/>
        </w:rPr>
        <w:t xml:space="preserve">Javaslatok és források</w:t>
      </w:r>
    </w:p>
    <w:sectPr>
      <w:foot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Balajti Energetika Kft.</w:t>
      <w:tab/>
      <w:t xml:space="preserve">Balajti Zsolt </w:t>
      <w:tab/>
      <w:t xml:space="preserve">3066 Kutasó, Toldi u. 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16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80" w:before="360" w:lineRule="auto"/>
    </w:pPr>
    <w:rPr>
      <w:b w:val="1"/>
      <w:bCs w:val="1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