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Energetikai audit</w:t>
      </w:r>
    </w:p>
    <w:p w:rsidR="00000000" w:rsidDel="00000000" w:rsidP="00000000" w:rsidRDefault="00000000" w:rsidRPr="00000000" w14:paraId="00000002">
      <w:pPr>
        <w:pStyle w:val="Subtitle"/>
        <w:jc w:val="center"/>
        <w:rPr/>
      </w:pPr>
      <w:r w:rsidDel="00000000" w:rsidR="00000000" w:rsidRPr="00000000">
        <w:rPr>
          <w:rtl w:val="0"/>
        </w:rPr>
        <w:t xml:space="preserve">az energiahatékonyságról szóló 2015. évi LVII. törvény alapján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1"/>
        <w:keepLines w:val="1"/>
        <w:pageBreakBefore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240" w:line="259" w:lineRule="auto"/>
        <w:rPr>
          <w:b w:val="1"/>
          <w:bCs w:val="1"/>
          <w:color w:val="000000"/>
          <w:sz w:val="40"/>
          <w:szCs w:val="40"/>
        </w:rPr>
      </w:pPr>
      <w:r w:rsidDel="00000000" w:rsidR="00000000" w:rsidRPr="00000000">
        <w:rPr>
          <w:b w:val="1"/>
          <w:bCs w:val="1"/>
          <w:color w:val="000000"/>
          <w:sz w:val="40"/>
          <w:szCs w:val="40"/>
          <w:rtl w:val="0"/>
        </w:rPr>
        <w:t xml:space="preserve">Tartalomjegyzék</w:t>
      </w:r>
    </w:p>
    <w:sdt>
      <w:sdtPr>
        <w:id w:val="-410517175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16"/>
            </w:tabs>
            <w:spacing w:after="100" w:before="0" w:line="36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ni38zpbjo3vp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1.Vezetői összefoglaló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16"/>
            </w:tabs>
            <w:spacing w:after="100" w:before="0" w:line="36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19axcrultbpu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2.Vállalkozás bemutatása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16"/>
            </w:tabs>
            <w:spacing w:after="100" w:before="0" w:line="36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uzkertphoojv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3.Fogyasztási adatok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16"/>
            </w:tabs>
            <w:spacing w:after="100" w:before="0" w:line="36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pd8ax8n1cvhf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4.Mérési hálózatok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16"/>
            </w:tabs>
            <w:spacing w:after="100" w:before="0" w:line="36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ccg07hacib0w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5.Költségek kalkulációja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16"/>
            </w:tabs>
            <w:spacing w:after="100" w:before="0" w:line="36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q0qgfw2d2u8d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6.Pénzügyi környezet kalkuláció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16"/>
            </w:tabs>
            <w:spacing w:after="100" w:before="0" w:line="36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k8bys56idod0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7.Épületek energetikai értékelése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16"/>
            </w:tabs>
            <w:spacing w:after="100" w:before="0" w:line="36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n99uy33rqo1f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7.1.Épületfizikai értékelés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16"/>
            </w:tabs>
            <w:spacing w:after="100" w:before="0" w:line="36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jy5u9sj542cl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7.2.Épületek fűtése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16"/>
            </w:tabs>
            <w:spacing w:after="100" w:before="0" w:line="36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1e9hbahrh2ue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7.3.Használati melegvíz készítése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16"/>
            </w:tabs>
            <w:spacing w:after="100" w:before="0" w:line="36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7pgv5sgggxr0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7.4.Épületek világítása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16"/>
            </w:tabs>
            <w:spacing w:after="100" w:before="0" w:line="36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la73okpjopus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7.5.Épületek komforthűtése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16"/>
            </w:tabs>
            <w:spacing w:after="100" w:before="0" w:line="36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mjvqk3swb3t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7.6.Légtechnikai rendszerek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16"/>
            </w:tabs>
            <w:spacing w:after="100" w:before="0" w:line="36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70pdftb0uw6m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Szállítás energetikai értékelése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16"/>
            </w:tabs>
            <w:spacing w:after="100" w:before="0" w:line="36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2m5ncglbezv5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${technology_title}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16"/>
            </w:tabs>
            <w:spacing w:after="100" w:before="0" w:line="36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rlxwwkgf7bjv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 fogyasztások felosztása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16"/>
            </w:tabs>
            <w:spacing w:after="100" w:before="0" w:line="36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fs0jfvd37bwn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Energia teljesítmény mutató meghatározása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16"/>
            </w:tabs>
            <w:spacing w:after="100" w:before="0" w:line="36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j4stjd8zgygh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Javaslatok és források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8">
      <w:pPr>
        <w:pStyle w:val="Heading1"/>
        <w:rPr/>
      </w:pPr>
      <w:bookmarkStart w:colFirst="0" w:colLast="0" w:name="_ni38zpbjo3vp" w:id="0"/>
      <w:bookmarkEnd w:id="0"/>
      <w:r w:rsidDel="00000000" w:rsidR="00000000" w:rsidRPr="00000000">
        <w:rPr>
          <w:rtl w:val="0"/>
        </w:rPr>
        <w:t xml:space="preserve">1.Vezetői összefoglaló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A ${company_name} mindamellett, hogy eleget kíván tenni a számára is kötelezően előírt, az energiahatékonyságról szóló 2015. évi LVII. törvényben foglalt energetikai auditálási kötelezettségeinek, egyúttal a hosszabb távú céljainak elérése érdekében meg kívánja vizsgálni, hogy jelenlegi magyarországi ${telephelyein} milyen energetikai fejlesztési potenciálok találhatóak. A Balajti Energetika Kft. ezen veszteségfeltáró auditálási feladatra adott ajánlatával elnyerte a munkát, az alábbi tanulmány ezen elkészült energiahatékonysági audit írásos dokumentációja.</w:t>
      </w:r>
    </w:p>
    <w:p w:rsidR="00000000" w:rsidDel="00000000" w:rsidP="00000000" w:rsidRDefault="00000000" w:rsidRPr="00000000" w14:paraId="0000001A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A ${company_name} az ${audit_interval} időszakban az alábbi fogyasztásokat realizálta:</w:t>
      </w:r>
      <w:r w:rsidDel="00000000" w:rsidR="00000000" w:rsidRPr="00000000">
        <w:rPr>
          <w:rtl w:val="0"/>
        </w:rPr>
      </w:r>
    </w:p>
    <w:tbl>
      <w:tblPr>
        <w:tblStyle w:val="Table1"/>
        <w:tblW w:w="1025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70"/>
        <w:gridCol w:w="2233"/>
        <w:gridCol w:w="2166"/>
        <w:gridCol w:w="2126"/>
        <w:gridCol w:w="1859"/>
        <w:tblGridChange w:id="0">
          <w:tblGrid>
            <w:gridCol w:w="1870"/>
            <w:gridCol w:w="2233"/>
            <w:gridCol w:w="2166"/>
            <w:gridCol w:w="2126"/>
            <w:gridCol w:w="1859"/>
          </w:tblGrid>
        </w:tblGridChange>
      </w:tblGrid>
      <w:tr>
        <w:trPr>
          <w:cantSplit w:val="0"/>
          <w:tblHeader w:val="0"/>
        </w:trPr>
        <w:tc>
          <w:tcPr>
            <w:shd w:fill="adadad" w:val="clear"/>
          </w:tcPr>
          <w:p w:rsidR="00000000" w:rsidDel="00000000" w:rsidP="00000000" w:rsidRDefault="00000000" w:rsidRPr="00000000" w14:paraId="0000001B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Energiahordozó</w:t>
            </w:r>
          </w:p>
        </w:tc>
        <w:tc>
          <w:tcPr>
            <w:shd w:fill="adadad" w:val="clear"/>
          </w:tcPr>
          <w:p w:rsidR="00000000" w:rsidDel="00000000" w:rsidP="00000000" w:rsidRDefault="00000000" w:rsidRPr="00000000" w14:paraId="0000001C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Épület</w:t>
            </w:r>
          </w:p>
        </w:tc>
        <w:tc>
          <w:tcPr>
            <w:shd w:fill="adadad" w:val="clear"/>
          </w:tcPr>
          <w:p w:rsidR="00000000" w:rsidDel="00000000" w:rsidP="00000000" w:rsidRDefault="00000000" w:rsidRPr="00000000" w14:paraId="0000001D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Tevékenység</w:t>
            </w:r>
          </w:p>
        </w:tc>
        <w:tc>
          <w:tcPr>
            <w:shd w:fill="adadad" w:val="clear"/>
          </w:tcPr>
          <w:p w:rsidR="00000000" w:rsidDel="00000000" w:rsidP="00000000" w:rsidRDefault="00000000" w:rsidRPr="00000000" w14:paraId="0000001E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Szállítás</w:t>
            </w:r>
          </w:p>
        </w:tc>
        <w:tc>
          <w:tcPr>
            <w:shd w:fill="adadad" w:val="clear"/>
          </w:tcPr>
          <w:p w:rsidR="00000000" w:rsidDel="00000000" w:rsidP="00000000" w:rsidRDefault="00000000" w:rsidRPr="00000000" w14:paraId="0000001F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Összesen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${carrier}</w:t>
            </w:r>
          </w:p>
        </w:tc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${carrier_building}</w:t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${carrier_product}</w:t>
            </w:r>
          </w:p>
        </w:tc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${carrier_vehicle}</w:t>
            </w:r>
          </w:p>
        </w:tc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${carrier_total}</w:t>
            </w:r>
          </w:p>
        </w:tc>
      </w:tr>
    </w:tbl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 A ${company_name} vizsgálata alapján az auditor az alábbi megtakarítási potenciálokat találta:</w:t>
      </w:r>
    </w:p>
    <w:p w:rsidR="00000000" w:rsidDel="00000000" w:rsidP="00000000" w:rsidRDefault="00000000" w:rsidRPr="00000000" w14:paraId="00000027">
      <w:pPr>
        <w:pStyle w:val="Heading1"/>
        <w:rPr/>
      </w:pPr>
      <w:bookmarkStart w:colFirst="0" w:colLast="0" w:name="_19axcrultbpu" w:id="1"/>
      <w:bookmarkEnd w:id="1"/>
      <w:r w:rsidDel="00000000" w:rsidR="00000000" w:rsidRPr="00000000">
        <w:rPr>
          <w:rtl w:val="0"/>
        </w:rPr>
        <w:t xml:space="preserve">2.Vállalkozás bemutatása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A(z) ${company_name}-t ${foundation_year}-ban/ben alapították, ${owner_percentage}  tulajdonban álló vállalkozás.  Fő tevékenysége a ${company_product}. Székhelye a  ${company_place} alatt van.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A ${data_year} év adatai alapján az alkalmazotti létszáma ${employee_count} fő, a ${data_year} évi árbevétele ${profit} volt. Az audit készítésének idején a telephely(ek)en az alábbi tevékenységek és munkarendek kerültek megállapításra: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${complex_data}</w:t>
      </w:r>
    </w:p>
    <w:p w:rsidR="00000000" w:rsidDel="00000000" w:rsidP="00000000" w:rsidRDefault="00000000" w:rsidRPr="00000000" w14:paraId="0000002B">
      <w:pPr>
        <w:pStyle w:val="Heading1"/>
        <w:rPr/>
      </w:pPr>
      <w:bookmarkStart w:colFirst="0" w:colLast="0" w:name="_uzkertphoojv" w:id="2"/>
      <w:bookmarkEnd w:id="2"/>
      <w:r w:rsidDel="00000000" w:rsidR="00000000" w:rsidRPr="00000000">
        <w:rPr>
          <w:rtl w:val="0"/>
        </w:rPr>
        <w:t xml:space="preserve">3.Fogyasztási adatok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A ${company_name} ${audit_interval} energiafogyasztási adatait az alábbi táblázatok foglalják össze: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${standings_data_by_complex}</w:t>
      </w:r>
    </w:p>
    <w:p w:rsidR="00000000" w:rsidDel="00000000" w:rsidP="00000000" w:rsidRDefault="00000000" w:rsidRPr="00000000" w14:paraId="0000002E">
      <w:pPr>
        <w:pStyle w:val="Heading1"/>
        <w:rPr/>
      </w:pPr>
      <w:bookmarkStart w:colFirst="0" w:colLast="0" w:name="_pd8ax8n1cvhf" w:id="3"/>
      <w:bookmarkEnd w:id="3"/>
      <w:r w:rsidDel="00000000" w:rsidR="00000000" w:rsidRPr="00000000">
        <w:rPr>
          <w:rtl w:val="0"/>
        </w:rPr>
        <w:t xml:space="preserve">4.Mérési hálózatok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A ${company_name} az alábbi mérőkkel, illetve számított fogyasztásokkal rendelkezik:</w:t>
      </w:r>
    </w:p>
    <w:p w:rsidR="00000000" w:rsidDel="00000000" w:rsidP="00000000" w:rsidRDefault="00000000" w:rsidRPr="00000000" w14:paraId="00000030">
      <w:pPr>
        <w:rPr>
          <w:i w:val="1"/>
          <w:iCs w:val="1"/>
        </w:rPr>
      </w:pPr>
      <w:r w:rsidDel="00000000" w:rsidR="00000000" w:rsidRPr="00000000">
        <w:rPr>
          <w:rtl w:val="0"/>
        </w:rPr>
        <w:t xml:space="preserve">${standing_hierarchy}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ind w:left="4253" w:hanging="4253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1"/>
        <w:rPr/>
      </w:pPr>
      <w:bookmarkStart w:colFirst="0" w:colLast="0" w:name="_ccg07hacib0w" w:id="4"/>
      <w:bookmarkEnd w:id="4"/>
      <w:r w:rsidDel="00000000" w:rsidR="00000000" w:rsidRPr="00000000">
        <w:rPr>
          <w:rtl w:val="0"/>
        </w:rPr>
        <w:t xml:space="preserve">5.Költségek kalkulációja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A ${company_name} energiaköltségeinek vizsgálata során az alábbi tényértékeket tudtuk rögzíteni: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Az energiaköltségek vizsgálata során &lt;BÜNTETÉS ÖSSZEGE&gt; Ft összeget tártunk fel, mint felelős gazdálkodással és odafigyeléssel megtakarítható költség. A költségek vizsgálatából az energiahordozók fajlagos értékei: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Megtérülési számításainkban a földgáz és villamos energia esetében az amszterdami földgáz-, és villamosenergia tőzsde aktuálisan legtávolabbi időpontra leköthető egységárait vesszük alapul, egyéb energiahordozók esetében a &lt;TÁBLÁZAT MEGNEVEZÉSE&gt; táblázat fajlagos energiahordozó költségeivel kalkulálunk. Az auditkészítés időpontjában, azaz ${current_date}-n elérhető legtávolabbi energiahordozó egységárak: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Földgáz: ${natural_gas_price} EUR/MWh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Villamos energia:  ${electric_energy_price} EUR/MWh.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Az érvényes Euro árfolyam: ${eur_huf_rate} Ft/EURO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Az energiahordozók fajlagos egységárába természetesen be kell, hogy épüljenek egyéb költségek (a &lt;TÁBLÁZAT MEGNEVEZÉSE&gt; az auditkészítés időpontjában érvényes, piaci és hatósági árszabások alapján kialakult tapasztalati értékek):</w:t>
      </w:r>
    </w:p>
    <w:tbl>
      <w:tblPr>
        <w:tblStyle w:val="Table2"/>
        <w:tblW w:w="878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6068"/>
        <w:gridCol w:w="2716"/>
        <w:tblGridChange w:id="0">
          <w:tblGrid>
            <w:gridCol w:w="6068"/>
            <w:gridCol w:w="271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spacing w:after="0" w:line="240" w:lineRule="auto"/>
              <w:jc w:val="center"/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Földgáz fogyasztással arányos árkalkulációs tételek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spacing w:after="0" w:line="240" w:lineRule="auto"/>
              <w:jc w:val="center"/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Tipikus nagyságrend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Kereskedői árrés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2,0 Ft/kWh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Tárolási / kiegyenlítési költség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2,0 Ft/kWh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Szállítás / rendszerhasználat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7,5 Ft/MWh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Jövedéki adó + egyéb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1,5 Ft/MWh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Profil / mérlegkör költség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2,0 Ft/MWh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spacing w:after="0" w:line="240" w:lineRule="auto"/>
              <w:jc w:val="center"/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Összesen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spacing w:after="0" w:line="240" w:lineRule="auto"/>
              <w:jc w:val="center"/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15,0 Ft/kWh</w:t>
            </w:r>
          </w:p>
        </w:tc>
      </w:tr>
    </w:tbl>
    <w:p w:rsidR="00000000" w:rsidDel="00000000" w:rsidP="00000000" w:rsidRDefault="00000000" w:rsidRPr="00000000" w14:paraId="0000004A">
      <w:pPr>
        <w:rPr>
          <w:rFonts w:ascii="Aptos" w:cs="Aptos" w:eastAsia="Aptos" w:hAnsi="Aptos"/>
          <w:i w:val="1"/>
          <w:iCs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878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869"/>
        <w:gridCol w:w="2915"/>
        <w:tblGridChange w:id="0">
          <w:tblGrid>
            <w:gridCol w:w="5869"/>
            <w:gridCol w:w="291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spacing w:after="0" w:line="240" w:lineRule="auto"/>
              <w:jc w:val="center"/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Villamos energia fogyasztással arányos árkalkulációs tételek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spacing w:after="0" w:line="240" w:lineRule="auto"/>
              <w:jc w:val="center"/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Tipikus nagyságrend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Kereskedői árrés és finanszírozás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3,0 Ft/kWh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Profilozási és menetrendezési költség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6,0 Ft/MWh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Kiegyenlítőenergia- és mérlegkörköltség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3,5 Ft/MWh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EKR- és egyéb kereskedői kötelezettségek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3,0 Ft/MWh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Rendszerhasználati díjak (átlagos)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15,0 Ft/kWh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Jövedéki adó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0,415 Ft/kWh</w:t>
            </w:r>
          </w:p>
        </w:tc>
      </w:tr>
      <w:tr>
        <w:trPr>
          <w:cantSplit w:val="0"/>
          <w:trHeight w:val="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jc w:val="center"/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Összesen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jc w:val="center"/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30,915 Ft/kWh</w:t>
            </w:r>
          </w:p>
        </w:tc>
      </w:tr>
    </w:tbl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Tehát a számításokban használt földgáz-, és villamos energia nettó fajlagos egységár meghatározása: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 ${natural_gas_converted} Ft/kWh + 15 Ft/kWh = ${natural_gas_specific} Ft/kWh földgázra,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a villamos energia esetében pedig ${electric_converted} Ft/kWh + 30,915 Ft/kWh =  ${electric_energy_specific} Ft/kWh.</w:t>
      </w:r>
    </w:p>
    <w:p w:rsidR="00000000" w:rsidDel="00000000" w:rsidP="00000000" w:rsidRDefault="00000000" w:rsidRPr="00000000" w14:paraId="0000005F">
      <w:pPr>
        <w:pStyle w:val="Heading1"/>
        <w:rPr/>
      </w:pPr>
      <w:bookmarkStart w:colFirst="0" w:colLast="0" w:name="_q0qgfw2d2u8d" w:id="5"/>
      <w:bookmarkEnd w:id="5"/>
      <w:r w:rsidDel="00000000" w:rsidR="00000000" w:rsidRPr="00000000">
        <w:rPr>
          <w:rtl w:val="0"/>
        </w:rPr>
        <w:t xml:space="preserve">6.Pénzügyi környezet kalkuláció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Egy energetikai beruházás értékelni szükséges, hogy: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– hogyan alakulnak az energiaárak;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– van-e kockázata, hogy teljesül a tervezett energiamegtakarítás;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– milyen üzemeltetési és karbantartási költségek merülnek fel;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– csökken-e idővel a berendezés/technológia teljesítménye, hatékonysága;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– milyen hosszú a berendezés/technológia élettartama, és lesz-e maradványértéke;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– saját forrásból vagy hitelből történik-e a finanszírozás;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– milyen kockázatot hajlandó vállalni a beruházó;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– és milyen más befektetési lehetőségről mond le a projekt kedvéért.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Teljes, részletekbe menő, érzékenységvizsgálattal támogatott számítási szcenáriókat nem lehetséges egy veszteségfeltáró energetikai audit során végezni, így számításaink során az energiaárak változásával, a tervezett megtakarítás bizonytalanságával, a karbantartási költségek esetleges változásával, teljesítménycsökkenéssel, maradványértékkel nem számolunk.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Az egyszerűsített (a bekerülési költség és az évenként elért energiamegtakarítás összegének egymással történő elosztása) számítások során a 3 éven belüli megtérüléssel járó beruházások esetében nem végzünk NPV és IRR kalkulációt. A 3 év feletti értékek esetében viszont szükséges NPV és IRR kalkuláció.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br w:type="textWrapping"/>
        <w:t xml:space="preserve">A pénznek ára és időértéke van, amely kalkulálható. A megfelelő diszkontráta meghatározásához figyelembe venni a finanszírozási költséget, a BUBOR-t, az állampapírhozamokat, az MNB kamatkörnyezetét, valamint a projekt saját kockázatait. Ennek megfelelően súlyozott kamatrátát alkalmazunk.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Kamatráta meghatározása: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𝑟</w:t>
      </w:r>
      <w:r w:rsidDel="00000000" w:rsidR="00000000" w:rsidRPr="00000000">
        <w:rPr>
          <w:rtl w:val="0"/>
        </w:rPr>
        <w:t xml:space="preserve"> =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𝑤</w:t>
      </w:r>
      <w:r w:rsidDel="00000000" w:rsidR="00000000" w:rsidRPr="00000000">
        <w:rPr>
          <w:vertAlign w:val="subscript"/>
          <w:rtl w:val="0"/>
        </w:rPr>
        <w:t xml:space="preserve">1</w:t>
      </w:r>
      <w:r w:rsidDel="00000000" w:rsidR="00000000" w:rsidRPr="00000000">
        <w:rPr>
          <w:rtl w:val="0"/>
        </w:rPr>
        <w:t xml:space="preserve"> x BUBOR +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𝑤</w:t>
      </w:r>
      <w:r w:rsidDel="00000000" w:rsidR="00000000" w:rsidRPr="00000000">
        <w:rPr>
          <w:vertAlign w:val="subscript"/>
          <w:rtl w:val="0"/>
        </w:rPr>
        <w:t xml:space="preserve">2</w:t>
      </w:r>
      <w:r w:rsidDel="00000000" w:rsidR="00000000" w:rsidRPr="00000000">
        <w:rPr>
          <w:rtl w:val="0"/>
        </w:rPr>
        <w:t xml:space="preserve"> x Államkötvény hozam +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𝑤</w:t>
      </w:r>
      <w:r w:rsidDel="00000000" w:rsidR="00000000" w:rsidRPr="00000000">
        <w:rPr>
          <w:vertAlign w:val="subscript"/>
          <w:rtl w:val="0"/>
        </w:rPr>
        <w:t xml:space="preserve">3</w:t>
      </w:r>
      <w:r w:rsidDel="00000000" w:rsidR="00000000" w:rsidRPr="00000000">
        <w:rPr>
          <w:rtl w:val="0"/>
        </w:rPr>
        <w:t xml:space="preserve"> x MNB alapkamat + kockázati prémium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w</w:t>
      </w:r>
      <w:r w:rsidDel="00000000" w:rsidR="00000000" w:rsidRPr="00000000">
        <w:rPr>
          <w:vertAlign w:val="subscript"/>
          <w:rtl w:val="0"/>
        </w:rPr>
        <w:t xml:space="preserve">1</w:t>
      </w:r>
      <w:r w:rsidDel="00000000" w:rsidR="00000000" w:rsidRPr="00000000">
        <w:rPr>
          <w:rtl w:val="0"/>
        </w:rPr>
        <w:t xml:space="preserve">: 30%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𝑤</w:t>
      </w:r>
      <w:r w:rsidDel="00000000" w:rsidR="00000000" w:rsidRPr="00000000">
        <w:rPr>
          <w:vertAlign w:val="subscript"/>
          <w:rtl w:val="0"/>
        </w:rPr>
        <w:t xml:space="preserve">2</w:t>
      </w:r>
      <w:r w:rsidDel="00000000" w:rsidR="00000000" w:rsidRPr="00000000">
        <w:rPr>
          <w:rtl w:val="0"/>
        </w:rPr>
        <w:t xml:space="preserve">: 50%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w</w:t>
      </w:r>
      <w:r w:rsidDel="00000000" w:rsidR="00000000" w:rsidRPr="00000000">
        <w:rPr>
          <w:vertAlign w:val="subscript"/>
          <w:rtl w:val="0"/>
        </w:rPr>
        <w:t xml:space="preserve">3</w:t>
      </w:r>
      <w:r w:rsidDel="00000000" w:rsidR="00000000" w:rsidRPr="00000000">
        <w:rPr>
          <w:rtl w:val="0"/>
        </w:rPr>
        <w:t xml:space="preserve">: 20%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Az audit készítésének időpontjában a következő adatok állnak rendelkezésre: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BUBOR = ${bubor_rate}%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Államkötvény hozam = ${bond_rate}% 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MNB alapkamat: ${mnb_rate}%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Számításainkban a kockázati prémiumnak 3%-os értéket veszünk fel (közepes, átlagos kockázat).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A kamatráta az auditírás időpontjában tehát ${interest_rate}%.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A megtérülés számításánál NPV-t (nettó jelenértéket), és IRR-t (belső megtérülési rátát) számolunk. 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Megtérülés számítása: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Fonts w:ascii="Gungsuh" w:cs="Gungsuh" w:eastAsia="Gungsuh" w:hAnsi="Gungsuh"/>
          <w:rtl w:val="0"/>
        </w:rPr>
        <w:t xml:space="preserve">NPV=∑(CF</w:t>
      </w:r>
      <w:r w:rsidDel="00000000" w:rsidR="00000000" w:rsidRPr="00000000">
        <w:rPr>
          <w:vertAlign w:val="subscript"/>
          <w:rtl w:val="0"/>
        </w:rPr>
        <w:t xml:space="preserve">t</w:t>
      </w:r>
      <w:r w:rsidDel="00000000" w:rsidR="00000000" w:rsidRPr="00000000">
        <w:rPr>
          <w:rtl w:val="0"/>
        </w:rPr>
        <w:t xml:space="preserve"> /(1+r)</w:t>
      </w:r>
      <w:r w:rsidDel="00000000" w:rsidR="00000000" w:rsidRPr="00000000">
        <w:rPr>
          <w:vertAlign w:val="superscript"/>
          <w:rtl w:val="0"/>
        </w:rPr>
        <w:t xml:space="preserve">t</w:t>
      </w:r>
      <w:r w:rsidDel="00000000" w:rsidR="00000000" w:rsidRPr="00000000">
        <w:rPr>
          <w:rFonts w:ascii="Gungsuh" w:cs="Gungsuh" w:eastAsia="Gungsuh" w:hAnsi="Gungsuh"/>
          <w:rtl w:val="0"/>
        </w:rPr>
        <w:t xml:space="preserve">​​)−Beruházási költség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𝐶𝐹</w:t>
      </w:r>
      <w:r w:rsidDel="00000000" w:rsidR="00000000" w:rsidRPr="00000000">
        <w:rPr>
          <w:rFonts w:ascii="Cambria Math" w:cs="Cambria Math" w:eastAsia="Cambria Math" w:hAnsi="Cambria Math"/>
          <w:vertAlign w:val="subscript"/>
          <w:rtl w:val="0"/>
        </w:rPr>
        <w:t xml:space="preserve">𝑡</w:t>
      </w:r>
      <w:r w:rsidDel="00000000" w:rsidR="00000000" w:rsidRPr="00000000">
        <w:rPr>
          <w:rtl w:val="0"/>
        </w:rPr>
        <w:t xml:space="preserve"> = éves cashflow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t = évek száma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A projektek megítélésénél Ha az IRR&gt;r akkor megéri megcsinálni, ha IRR&lt;r, akkor nem.</w:t>
      </w:r>
    </w:p>
    <w:p w:rsidR="00000000" w:rsidDel="00000000" w:rsidP="00000000" w:rsidRDefault="00000000" w:rsidRPr="00000000" w14:paraId="00000084">
      <w:pPr>
        <w:pStyle w:val="Heading1"/>
        <w:rPr/>
      </w:pPr>
      <w:bookmarkStart w:colFirst="0" w:colLast="0" w:name="_k8bys56idod0" w:id="6"/>
      <w:bookmarkEnd w:id="6"/>
      <w:r w:rsidDel="00000000" w:rsidR="00000000" w:rsidRPr="00000000">
        <w:rPr>
          <w:rtl w:val="0"/>
        </w:rPr>
        <w:t xml:space="preserve">7.Épületek energetikai értékelése</w:t>
      </w:r>
    </w:p>
    <w:p w:rsidR="00000000" w:rsidDel="00000000" w:rsidP="00000000" w:rsidRDefault="00000000" w:rsidRPr="00000000" w14:paraId="00000085">
      <w:pPr>
        <w:pStyle w:val="Heading2"/>
        <w:rPr/>
      </w:pPr>
      <w:bookmarkStart w:colFirst="0" w:colLast="0" w:name="_n99uy33rqo1f" w:id="7"/>
      <w:bookmarkEnd w:id="7"/>
      <w:r w:rsidDel="00000000" w:rsidR="00000000" w:rsidRPr="00000000">
        <w:rPr>
          <w:rtl w:val="0"/>
        </w:rPr>
        <w:t xml:space="preserve">7.1.Épületfizikai értékelés 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A ${company_name} az alábbi épületekkel rendelkezik: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${building_listing} </w:t>
      </w:r>
    </w:p>
    <w:p w:rsidR="00000000" w:rsidDel="00000000" w:rsidP="00000000" w:rsidRDefault="00000000" w:rsidRPr="00000000" w14:paraId="00000088">
      <w:pPr>
        <w:pStyle w:val="Heading2"/>
        <w:rPr/>
      </w:pPr>
      <w:bookmarkStart w:colFirst="0" w:colLast="0" w:name="_jy5u9sj542cl" w:id="8"/>
      <w:bookmarkEnd w:id="8"/>
      <w:r w:rsidDel="00000000" w:rsidR="00000000" w:rsidRPr="00000000">
        <w:rPr>
          <w:rtl w:val="0"/>
        </w:rPr>
        <w:t xml:space="preserve">7.2.Épületek fűtése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A ${company_name} az alábbi fűtési rendszerekkel rendelkezik: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${heating_listing}</w:t>
      </w:r>
    </w:p>
    <w:p w:rsidR="00000000" w:rsidDel="00000000" w:rsidP="00000000" w:rsidRDefault="00000000" w:rsidRPr="00000000" w14:paraId="0000008B">
      <w:pPr>
        <w:pStyle w:val="Heading2"/>
        <w:rPr/>
      </w:pPr>
      <w:bookmarkStart w:colFirst="0" w:colLast="0" w:name="_1e9hbahrh2ue" w:id="9"/>
      <w:bookmarkEnd w:id="9"/>
      <w:r w:rsidDel="00000000" w:rsidR="00000000" w:rsidRPr="00000000">
        <w:rPr>
          <w:rtl w:val="0"/>
        </w:rPr>
        <w:t xml:space="preserve">7.3.Használati melegvíz készítése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A ${company_name} az alábbi használati melegvizes rendszerekkel rendelkezik: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${hmv_listing}</w:t>
      </w:r>
    </w:p>
    <w:p w:rsidR="00000000" w:rsidDel="00000000" w:rsidP="00000000" w:rsidRDefault="00000000" w:rsidRPr="00000000" w14:paraId="0000008E">
      <w:pPr>
        <w:pStyle w:val="Heading2"/>
        <w:rPr/>
      </w:pPr>
      <w:bookmarkStart w:colFirst="0" w:colLast="0" w:name="_7pgv5sgggxr0" w:id="10"/>
      <w:bookmarkEnd w:id="10"/>
      <w:r w:rsidDel="00000000" w:rsidR="00000000" w:rsidRPr="00000000">
        <w:rPr>
          <w:rtl w:val="0"/>
        </w:rPr>
        <w:t xml:space="preserve">7.4.Épületek világítása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A ${company_name} az alábbi világítási zónákkal és rendszerekkel rendelkezik: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${lighting_listing}</w:t>
      </w:r>
    </w:p>
    <w:p w:rsidR="00000000" w:rsidDel="00000000" w:rsidP="00000000" w:rsidRDefault="00000000" w:rsidRPr="00000000" w14:paraId="00000091">
      <w:pPr>
        <w:pStyle w:val="Heading2"/>
        <w:rPr/>
      </w:pPr>
      <w:bookmarkStart w:colFirst="0" w:colLast="0" w:name="_la73okpjopus" w:id="11"/>
      <w:bookmarkEnd w:id="11"/>
      <w:r w:rsidDel="00000000" w:rsidR="00000000" w:rsidRPr="00000000">
        <w:rPr>
          <w:rtl w:val="0"/>
        </w:rPr>
        <w:t xml:space="preserve">7.5.Épületek komforthűtése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A ${company_name} az alábbi komforthűtési rendszerekkel rendelkezik: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${cooling_listing}</w:t>
      </w:r>
    </w:p>
    <w:p w:rsidR="00000000" w:rsidDel="00000000" w:rsidP="00000000" w:rsidRDefault="00000000" w:rsidRPr="00000000" w14:paraId="00000094">
      <w:pPr>
        <w:pStyle w:val="Heading2"/>
        <w:rPr/>
      </w:pPr>
      <w:bookmarkStart w:colFirst="0" w:colLast="0" w:name="_hmjvqk3swb3t" w:id="12"/>
      <w:bookmarkEnd w:id="12"/>
      <w:r w:rsidDel="00000000" w:rsidR="00000000" w:rsidRPr="00000000">
        <w:rPr>
          <w:rtl w:val="0"/>
        </w:rPr>
        <w:t xml:space="preserve">7.6.Légtechnikai rendszerek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A ${company_name} az alábbi légtechnikai rendszerekkel rendelkezik: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${hvac_listing}</w:t>
      </w:r>
    </w:p>
    <w:p w:rsidR="00000000" w:rsidDel="00000000" w:rsidP="00000000" w:rsidRDefault="00000000" w:rsidRPr="00000000" w14:paraId="00000097">
      <w:pPr>
        <w:pStyle w:val="Heading1"/>
        <w:rPr/>
      </w:pPr>
      <w:bookmarkStart w:colFirst="0" w:colLast="0" w:name="_70pdftb0uw6m" w:id="13"/>
      <w:bookmarkEnd w:id="13"/>
      <w:r w:rsidDel="00000000" w:rsidR="00000000" w:rsidRPr="00000000">
        <w:rPr>
          <w:rtl w:val="0"/>
        </w:rPr>
        <w:t xml:space="preserve">8.Szállítás energetikai értékelése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A ${company_name} az alábbi járműveket üzemelteti: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${vehicle_listing}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${block_technology}</w:t>
      </w:r>
    </w:p>
    <w:p w:rsidR="00000000" w:rsidDel="00000000" w:rsidP="00000000" w:rsidRDefault="00000000" w:rsidRPr="00000000" w14:paraId="0000009B">
      <w:pPr>
        <w:pStyle w:val="Heading1"/>
        <w:rPr/>
      </w:pPr>
      <w:bookmarkStart w:colFirst="0" w:colLast="0" w:name="_2m5ncglbezv5" w:id="14"/>
      <w:bookmarkEnd w:id="14"/>
      <w:r w:rsidDel="00000000" w:rsidR="00000000" w:rsidRPr="00000000">
        <w:rPr>
          <w:rtl w:val="0"/>
        </w:rPr>
        <w:t xml:space="preserve">${technology_title}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${technology_content}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${/block_technology}</w:t>
      </w:r>
    </w:p>
    <w:p w:rsidR="00000000" w:rsidDel="00000000" w:rsidP="00000000" w:rsidRDefault="00000000" w:rsidRPr="00000000" w14:paraId="0000009E">
      <w:pPr>
        <w:pStyle w:val="Heading1"/>
        <w:rPr/>
      </w:pPr>
      <w:bookmarkStart w:colFirst="0" w:colLast="0" w:name="_rlxwwkgf7bjv" w:id="15"/>
      <w:bookmarkEnd w:id="15"/>
      <w:r w:rsidDel="00000000" w:rsidR="00000000" w:rsidRPr="00000000">
        <w:rPr>
          <w:rtl w:val="0"/>
        </w:rPr>
        <w:t xml:space="preserve">${technology_offset_index}.A fogyasztások felosztása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A ${company_name} az ismertetett rendszerek mért vagy számított fogyasztásai alapján az alábbi energiafogyasztási profillal rendelkezik:</w:t>
      </w:r>
    </w:p>
    <w:tbl>
      <w:tblPr>
        <w:tblStyle w:val="Table4"/>
        <w:tblW w:w="8296.0" w:type="dxa"/>
        <w:jc w:val="left"/>
        <w:tblInd w:w="72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54"/>
        <w:gridCol w:w="2007"/>
        <w:gridCol w:w="2104"/>
        <w:gridCol w:w="2031"/>
        <w:tblGridChange w:id="0">
          <w:tblGrid>
            <w:gridCol w:w="2154"/>
            <w:gridCol w:w="2007"/>
            <w:gridCol w:w="2104"/>
            <w:gridCol w:w="2031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dadad" w:val="clear"/>
          </w:tcPr>
          <w:p w:rsidR="00000000" w:rsidDel="00000000" w:rsidP="00000000" w:rsidRDefault="00000000" w:rsidRPr="00000000" w14:paraId="000000A0">
            <w:pPr>
              <w:spacing w:after="16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Energiahordozó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dadad" w:val="clear"/>
          </w:tcPr>
          <w:p w:rsidR="00000000" w:rsidDel="00000000" w:rsidP="00000000" w:rsidRDefault="00000000" w:rsidRPr="00000000" w14:paraId="000000A1">
            <w:pPr>
              <w:spacing w:after="16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Épület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dadad" w:val="clear"/>
          </w:tcPr>
          <w:p w:rsidR="00000000" w:rsidDel="00000000" w:rsidP="00000000" w:rsidRDefault="00000000" w:rsidRPr="00000000" w14:paraId="000000A2">
            <w:pPr>
              <w:spacing w:after="16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Tevékenység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dadad" w:val="clear"/>
          </w:tcPr>
          <w:p w:rsidR="00000000" w:rsidDel="00000000" w:rsidP="00000000" w:rsidRDefault="00000000" w:rsidRPr="00000000" w14:paraId="000000A3">
            <w:pPr>
              <w:spacing w:after="16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Szállítás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4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  <w:t xml:space="preserve">${carrier2}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5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  <w:t xml:space="preserve">${carrier2_building}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6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  <w:t xml:space="preserve">${carrier2_product}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7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  <w:t xml:space="preserve">${carrier2_vehicle}</w:t>
            </w:r>
          </w:p>
        </w:tc>
      </w:tr>
    </w:tbl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jc w:val="center"/>
        <w:rPr/>
      </w:pPr>
      <w:r w:rsidDel="00000000" w:rsidR="00000000" w:rsidRPr="00000000">
        <w:rPr>
          <w:rtl w:val="0"/>
        </w:rPr>
        <w:t xml:space="preserve">${sankey_diagram}</w:t>
      </w:r>
    </w:p>
    <w:p w:rsidR="00000000" w:rsidDel="00000000" w:rsidP="00000000" w:rsidRDefault="00000000" w:rsidRPr="00000000" w14:paraId="000000AA">
      <w:pPr>
        <w:pStyle w:val="Heading1"/>
        <w:rPr/>
      </w:pPr>
      <w:bookmarkStart w:colFirst="0" w:colLast="0" w:name="_fs0jfvd37bwn" w:id="16"/>
      <w:bookmarkEnd w:id="16"/>
      <w:r w:rsidDel="00000000" w:rsidR="00000000" w:rsidRPr="00000000">
        <w:rPr>
          <w:rtl w:val="0"/>
        </w:rPr>
        <w:t xml:space="preserve">${technology_offset_2_index}.Energia teljesítmény mutató meghatározása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Minden gazdálkodó szervezet esetében fontos, hogy ne önmagában kerüljön meghatározásra az energiafogyasztás. Az ETM (Energia Teljesítmény Mutató) olyan mérőszám, amely az energiafelhasználást egy releváns teljesítmény jellemzőhöz – például termelési mennyiséghez, alapterülethez vagy üzemórához – viszonyítva teszi mérhetővé és összehasonlíthatóvá az energetikai teljesítményt. A ${company_name} gazdálkodásában ez a mutató a ${product_name}. A ${audit_interval} időszak termelés számai az alábbi táblázat szerint alakultak: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${product_listing}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Az indexbe nem kerülnek beleszámításra az Épület és Szállítás jellegű fogyasztások, csak a Tevékenység energiafelhasználásai. Ezek alapján az ETM értéke ${ETM}. Minden jövőbeni, az energiahatékonyságot növelő technológiai beruházást ezen érték javulásában célszerű lemérni.</w:t>
      </w:r>
    </w:p>
    <w:p w:rsidR="00000000" w:rsidDel="00000000" w:rsidP="00000000" w:rsidRDefault="00000000" w:rsidRPr="00000000" w14:paraId="000000AE">
      <w:pPr>
        <w:pStyle w:val="Heading1"/>
        <w:rPr/>
      </w:pPr>
      <w:bookmarkStart w:colFirst="0" w:colLast="0" w:name="_j4stjd8zgygh" w:id="17"/>
      <w:bookmarkEnd w:id="17"/>
      <w:r w:rsidDel="00000000" w:rsidR="00000000" w:rsidRPr="00000000">
        <w:rPr>
          <w:rtl w:val="0"/>
        </w:rPr>
        <w:t xml:space="preserve">${technology_offset_3_index}.Javaslatok és források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${replaceable_listing}</w:t>
      </w:r>
      <w:r w:rsidDel="00000000" w:rsidR="00000000" w:rsidRPr="00000000">
        <w:rPr>
          <w:rtl w:val="0"/>
        </w:rPr>
      </w:r>
    </w:p>
    <w:sectPr>
      <w:footerReference r:id="rId6" w:type="default"/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ungsuh"/>
  <w:font w:name="Aptos"/>
  <w:font w:name="Cambria Math">
    <w:embedRegular w:fontKey="{00000000-0000-0000-0000-000000000000}" r:id="rId1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0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spacing w:after="0" w:line="240" w:lineRule="auto"/>
      <w:rPr>
        <w:color w:val="000000"/>
      </w:rPr>
    </w:pPr>
    <w:r w:rsidDel="00000000" w:rsidR="00000000" w:rsidRPr="00000000">
      <w:rPr>
        <w:color w:val="000000"/>
        <w:rtl w:val="0"/>
      </w:rPr>
      <w:t xml:space="preserve">Balajti Energetika Kft.</w:t>
      <w:tab/>
      <w:t xml:space="preserve">Balajti Zsolt </w:t>
      <w:tab/>
      <w:t xml:space="preserve">3066 Kutasó, Toldi u. 4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hu"/>
      </w:rPr>
    </w:rPrDefault>
    <w:pPrDefault>
      <w:pPr>
        <w:spacing w:after="160" w:line="36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1"/>
      <w:spacing w:after="80" w:before="360" w:lineRule="auto"/>
    </w:pPr>
    <w:rPr>
      <w:b w:val="1"/>
      <w:bCs w:val="1"/>
      <w:color w:val="000000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color w:val="40404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mbriaMath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