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p>
    <w:p>
      <w:pPr>
        <w:shd w:fill="1F3A6E" w:color="1F3A6E" w:val="solid"/>
        <w:spacing w:before="0" w:after="0"/>
        <w:jc w:val="center"/>
      </w:pPr>
      <w:r>
        <w:rPr>
          <w:sz w:val="8"/>
          <w:szCs w:val="8"/>
        </w:rPr>
        <w:t xml:space="preserve"/>
      </w:r>
    </w:p>
    <w:p>
      <w:pPr>
        <w:spacing w:before="0" w:after="8"/>
      </w:pPr>
    </w:p>
    <w:p>
      <w:pPr>
        <w:spacing w:before="40" w:after="12"/>
        <w:jc w:val="center"/>
      </w:pPr>
      <w:r>
        <w:rPr>
          <w:rFonts w:ascii="Calibri" w:cs="Calibri" w:eastAsia="Calibri" w:hAnsi="Calibri"/>
          <w:b/>
          <w:bCs/>
          <w:color w:val="1F3A6E"/>
          <w:sz w:val="48"/>
          <w:szCs w:val="48"/>
        </w:rPr>
        <w:t xml:space="preserve">HOSTING PLATFORM ANALYSIS</w:t>
      </w:r>
    </w:p>
    <w:p>
      <w:pPr>
        <w:spacing w:before="0" w:after="16"/>
        <w:jc w:val="center"/>
      </w:pPr>
      <w:r>
        <w:rPr>
          <w:rFonts w:ascii="Calibri" w:cs="Calibri" w:eastAsia="Calibri" w:hAnsi="Calibri"/>
          <w:i/>
          <w:iCs/>
          <w:color w:val="0D7377"/>
          <w:sz w:val="32"/>
          <w:szCs w:val="32"/>
        </w:rPr>
        <w:t xml:space="preserve">LLM Integration &amp; AI-Powered Application Workloads</w:t>
      </w:r>
    </w:p>
    <w:p>
      <w:pPr>
        <w:spacing w:before="0" w:after="8"/>
        <w:jc w:val="center"/>
      </w:pPr>
      <w:r>
        <w:rPr>
          <w:rFonts w:ascii="Calibri" w:cs="Calibri" w:eastAsia="Calibri" w:hAnsi="Calibri"/>
          <w:color w:val="D0D5DD"/>
          <w:sz w:val="26"/>
          <w:szCs w:val="26"/>
        </w:rPr>
        <w:t xml:space="preserve">Netlify  ·  Vercel  ·  Sevalla  ·  Render</w:t>
      </w:r>
    </w:p>
    <w:p>
      <w:pPr>
        <w:spacing w:before="0" w:after="32"/>
      </w:pPr>
    </w:p>
    <w:p>
      <w:pPr>
        <w:pBdr>
          <w:top w:val="single" w:color="1F3A6E" w:sz="4" w:space="4"/>
          <w:bottom w:val="single" w:color="1F3A6E" w:sz="4" w:space="4"/>
        </w:pBdr>
        <w:shd w:fill="F2F4F7" w:color="F2F4F7" w:val="solid"/>
        <w:spacing w:before="16" w:after="16"/>
        <w:jc w:val="center"/>
      </w:pPr>
      <w:r>
        <w:rPr>
          <w:rFonts w:ascii="Calibri" w:cs="Calibri" w:eastAsia="Calibri" w:hAnsi="Calibri"/>
          <w:color w:val="1F3A6E"/>
          <w:sz w:val="22"/>
          <w:szCs w:val="22"/>
        </w:rPr>
        <w:t xml:space="preserve">Prepared for EdMeCa Academy  ·  February 2026</w:t>
      </w:r>
    </w:p>
    <w:p>
      <w:pPr>
        <w:spacing w:before="0" w:after="40"/>
      </w:pPr>
    </w:p>
    <w:p>
      <w:pPr>
        <w:spacing w:before="0" w:after="8"/>
        <w:jc w:val="center"/>
      </w:pPr>
      <w:r>
        <w:rPr>
          <w:rFonts w:ascii="Calibri" w:cs="Calibri" w:eastAsia="Calibri" w:hAnsi="Calibri"/>
          <w:b/>
          <w:bCs/>
          <w:color w:val="D0D5DD"/>
          <w:sz w:val="18"/>
          <w:szCs w:val="18"/>
        </w:rPr>
        <w:t xml:space="preserve">CLASSIFICATION: INTERNAL</w:t>
      </w:r>
    </w:p>
    <w:p>
      <w:r>
        <w:br w:type="page"/>
      </w:r>
    </w:p>
    <w:p>
      <w:pPr>
        <w:pStyle w:val="Heading1"/>
        <w:shd w:fill="1F3A6E" w:color="1F3A6E" w:val="solid"/>
        <w:spacing w:before="36" w:after="16"/>
      </w:pPr>
      <w:r>
        <w:rPr>
          <w:rFonts w:ascii="Calibri" w:cs="Calibri" w:eastAsia="Calibri" w:hAnsi="Calibri"/>
          <w:b/>
          <w:bCs/>
          <w:color w:val="FFFFFF"/>
          <w:sz w:val="32"/>
          <w:szCs w:val="32"/>
        </w:rPr>
        <w:t xml:space="preserve">1.  Executive Summary</w:t>
      </w:r>
    </w:p>
    <w:p>
      <w:pPr>
        <w:spacing w:before="0" w:after="8"/>
      </w:pPr>
    </w:p>
    <w:p>
      <w:pPr>
        <w:spacing w:before="4" w:after="12"/>
      </w:pPr>
      <w:r>
        <w:rPr>
          <w:rFonts w:ascii="Calibri" w:cs="Calibri" w:eastAsia="Calibri" w:hAnsi="Calibri"/>
          <w:color w:val="1A1A2E"/>
          <w:sz w:val="22"/>
          <w:szCs w:val="22"/>
        </w:rPr>
        <w:t xml:space="preserve">This report provides a detailed technical and commercial analysis of four leading hosting platforms — Netlify, Vercel, Sevalla, and Render — evaluated specifically for their ability to support Large Language Model (LLM) integration within web applications. The analysis is driven by a concrete production scenario: a financial document analysis tool that processes uploaded bank statements and management accounts using Claude Haiku and Sonnet models to assess financial health and generate strategic recommendations.</w:t>
      </w:r>
    </w:p>
    <w:p>
      <w:pPr>
        <w:spacing w:before="0" w:after="8"/>
      </w:pPr>
    </w:p>
    <w:p>
      <w:pPr>
        <w:spacing w:before="4" w:after="12"/>
      </w:pPr>
      <w:r>
        <w:rPr>
          <w:rFonts w:ascii="Calibri" w:cs="Calibri" w:eastAsia="Calibri" w:hAnsi="Calibri"/>
          <w:color w:val="1A1A2E"/>
          <w:sz w:val="22"/>
          <w:szCs w:val="22"/>
        </w:rPr>
        <w:t xml:space="preserve">The central problem is function timeout: LLM queries involving detailed financial analysis of multi-page documents can run for 30–120+ seconds. Platforms with short serverless function timeouts drop the connection before the AI returns a response, causing failed requests and poor user experience. This report identifies which platforms present a barrier and which are viable paths forward, including both free and commercial tiers.</w:t>
      </w:r>
    </w:p>
    <w:p>
      <w:pPr>
        <w:spacing w:before="0" w:after="8"/>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20%"/>
            <w:shd w:fill="1F3A6E" w:color="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Platform</w:t>
            </w:r>
          </w:p>
        </w:tc>
        <w:tc>
          <w:tcPr>
            <w:tcW w:type="pct" w:w="15%"/>
            <w:shd w:fill="1F3A6E" w:color="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Free Timeout</w:t>
            </w:r>
          </w:p>
        </w:tc>
        <w:tc>
          <w:tcPr>
            <w:tcW w:type="pct" w:w="15%"/>
            <w:shd w:fill="1F3A6E" w:color="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Paid Timeout</w:t>
            </w:r>
          </w:p>
        </w:tc>
        <w:tc>
          <w:tcPr>
            <w:tcW w:type="pct" w:w="20%"/>
            <w:shd w:fill="1F3A6E" w:color="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LLM Suitability</w:t>
            </w:r>
          </w:p>
        </w:tc>
        <w:tc>
          <w:tcPr>
            <w:tcW w:type="pct" w:w="30%"/>
            <w:shd w:fill="1F3A6E" w:color="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Recommended Tier</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Netlify</w:t>
            </w:r>
          </w:p>
        </w:tc>
        <w:tc>
          <w:tcPr>
            <w:shd w:fill="FDECEA" w:color="FDECEA" w:val="solid"/>
            <w:tcMar>
              <w:top w:type="dxa" w:w="6"/>
              <w:left w:type="dxa" w:w="10"/>
              <w:bottom w:type="dxa" w:w="6"/>
              <w:right w:type="dxa" w:w="10"/>
            </w:tcMar>
            <w:vAlign w:val="center"/>
          </w:tcPr>
          <w:p>
            <w:pPr>
              <w:jc w:val="left"/>
            </w:pPr>
            <w:r>
              <w:rPr>
                <w:rFonts w:ascii="Calibri" w:cs="Calibri" w:eastAsia="Calibri" w:hAnsi="Calibri"/>
                <w:b w:val="false"/>
                <w:bCs w:val="false"/>
                <w:color w:val="C0392B"/>
                <w:sz w:val="20"/>
                <w:szCs w:val="20"/>
              </w:rPr>
              <w:t xml:space="preserve">10 seconds</w:t>
            </w:r>
          </w:p>
        </w:tc>
        <w:tc>
          <w:tcPr>
            <w:shd w:fill="FEF3CD" w:color="FEF3CD" w:val="solid"/>
            <w:tcMar>
              <w:top w:type="dxa" w:w="6"/>
              <w:left w:type="dxa" w:w="10"/>
              <w:bottom w:type="dxa" w:w="6"/>
              <w:right w:type="dxa" w:w="10"/>
            </w:tcMar>
            <w:vAlign w:val="center"/>
          </w:tcPr>
          <w:p>
            <w:pPr>
              <w:jc w:val="left"/>
            </w:pPr>
            <w:r>
              <w:rPr>
                <w:rFonts w:ascii="Calibri" w:cs="Calibri" w:eastAsia="Calibri" w:hAnsi="Calibri"/>
                <w:b w:val="false"/>
                <w:bCs w:val="false"/>
                <w:color w:val="6B4A00"/>
                <w:sz w:val="20"/>
                <w:szCs w:val="20"/>
              </w:rPr>
              <w:t xml:space="preserve">26 seconds (sync) / 15 min (background)</w:t>
            </w:r>
          </w:p>
        </w:tc>
        <w:tc>
          <w:tcPr>
            <w:shd w:fill="FEF3CD" w:color="FEF3CD" w:val="solid"/>
            <w:tcMar>
              <w:top w:type="dxa" w:w="6"/>
              <w:left w:type="dxa" w:w="10"/>
              <w:bottom w:type="dxa" w:w="6"/>
              <w:right w:type="dxa" w:w="10"/>
            </w:tcMar>
            <w:vAlign w:val="center"/>
          </w:tcPr>
          <w:p>
            <w:pPr>
              <w:jc w:val="left"/>
            </w:pPr>
            <w:r>
              <w:rPr>
                <w:rFonts w:ascii="Calibri" w:cs="Calibri" w:eastAsia="Calibri" w:hAnsi="Calibri"/>
                <w:b w:val="false"/>
                <w:bCs w:val="false"/>
                <w:color w:val="6B4A00"/>
                <w:sz w:val="20"/>
                <w:szCs w:val="20"/>
              </w:rPr>
              <w:t xml:space="preserve">⚠  Partial — requires architectural workaround</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Background functions + polling or streaming via edge</w:t>
            </w:r>
          </w:p>
        </w:tc>
      </w:tr>
      <w:tr>
        <w:tc>
          <w:tcPr>
            <w:shd w:fill="FFFFFF" w:color="FFFFFF"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Vercel</w:t>
            </w:r>
          </w:p>
        </w:tc>
        <w:tc>
          <w:tcPr>
            <w:shd w:fill="D4EDDA" w:color="D4EDDA"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300 seconds (Fluid Compute)</w:t>
            </w:r>
          </w:p>
        </w:tc>
        <w:tc>
          <w:tcPr>
            <w:shd w:fill="D4EDDA" w:color="D4EDDA"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800 seconds (Pro + Fluid Compute)</w:t>
            </w:r>
          </w:p>
        </w:tc>
        <w:tc>
          <w:tcPr>
            <w:shd w:fill="D4EDDA" w:color="D4EDDA"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Excellent — native AI/streaming support</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Hobby (free) with Fluid Compute enabled</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Sevalla</w:t>
            </w:r>
          </w:p>
        </w:tc>
        <w:tc>
          <w:tcPr>
            <w:shd w:fill="D4EDDA" w:color="D4EDDA"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No timeout (persistent server)</w:t>
            </w:r>
          </w:p>
        </w:tc>
        <w:tc>
          <w:tcPr>
            <w:shd w:fill="D4EDDA" w:color="D4EDDA"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No timeout (persistent server)</w:t>
            </w:r>
          </w:p>
        </w:tc>
        <w:tc>
          <w:tcPr>
            <w:shd w:fill="D4EDDA" w:color="D4EDDA"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Excellent — container-based, no limits</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Starter ($5/month) — best value for LLM workloads</w:t>
            </w:r>
          </w:p>
        </w:tc>
      </w:tr>
      <w:tr>
        <w:tc>
          <w:tcPr>
            <w:shd w:fill="FFFFFF" w:color="FFFFFF"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Render</w:t>
            </w:r>
          </w:p>
        </w:tc>
        <w:tc>
          <w:tcPr>
            <w:shd w:fill="D4EDDA" w:color="D4EDDA"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No timeout (persistent server)</w:t>
            </w:r>
          </w:p>
        </w:tc>
        <w:tc>
          <w:tcPr>
            <w:shd w:fill="D4EDDA" w:color="D4EDDA"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No timeout (persistent server)</w:t>
            </w:r>
          </w:p>
        </w:tc>
        <w:tc>
          <w:tcPr>
            <w:shd w:fill="D4EDDA" w:color="D4EDDA"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Good — persistent web service, full control</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Starter ($7/month) — production-grade with auto-deploy</w:t>
            </w:r>
          </w:p>
        </w:tc>
      </w:tr>
    </w:tbl>
    <w:p>
      <w:pPr>
        <w:spacing w:before="0" w:after="16"/>
      </w:pPr>
    </w:p>
    <w:p>
      <w:pPr>
        <w:pBdr>
          <w:left w:val="single" w:color="27AE60" w:sz="12" w:space="6"/>
        </w:pBdr>
        <w:shd w:fill="D4EDDA" w:color="D4EDDA" w:val="solid"/>
        <w:spacing w:before="12" w:after="12"/>
        <w:ind w:left="431" w:right="431"/>
      </w:pPr>
      <w:r>
        <w:rPr>
          <w:rFonts w:ascii="Calibri" w:cs="Calibri" w:eastAsia="Calibri" w:hAnsi="Calibri"/>
          <w:b/>
          <w:bCs/>
          <w:color w:val="155724"/>
          <w:sz w:val="22"/>
          <w:szCs w:val="22"/>
        </w:rPr>
        <w:t xml:space="preserve">✓  Recommendation: For LLM-intensive workloads, Vercel (Hobby with Fluid Compute) or Sevalla / Render (persistent containers from $5–7/month) are the correct architectural choices. Netlify is not suitable for synchronous LLM responses without major redesign.</w:t>
      </w:r>
    </w:p>
    <w:p>
      <w:r>
        <w:br w:type="page"/>
      </w:r>
    </w:p>
    <w:p>
      <w:pPr>
        <w:pStyle w:val="Heading1"/>
        <w:shd w:fill="1F3A6E" w:color="1F3A6E" w:val="solid"/>
        <w:spacing w:before="36" w:after="16"/>
      </w:pPr>
      <w:r>
        <w:rPr>
          <w:rFonts w:ascii="Calibri" w:cs="Calibri" w:eastAsia="Calibri" w:hAnsi="Calibri"/>
          <w:b/>
          <w:bCs/>
          <w:color w:val="FFFFFF"/>
          <w:sz w:val="32"/>
          <w:szCs w:val="32"/>
        </w:rPr>
        <w:t xml:space="preserve">2.  The Problem: LLM Queries and Timeout Constraints</w:t>
      </w:r>
    </w:p>
    <w:p>
      <w:pPr>
        <w:spacing w:before="0" w:after="8"/>
      </w:pPr>
    </w:p>
    <w:p>
      <w:pPr>
        <w:pStyle w:val="Heading2"/>
        <w:pBdr>
          <w:bottom w:val="single" w:color="0D7377" w:sz="4" w:space="1"/>
        </w:pBdr>
        <w:spacing w:before="28" w:after="12"/>
      </w:pPr>
      <w:r>
        <w:rPr>
          <w:rFonts w:ascii="Calibri" w:cs="Calibri" w:eastAsia="Calibri" w:hAnsi="Calibri"/>
          <w:b/>
          <w:bCs/>
          <w:color w:val="1F3A6E"/>
          <w:sz w:val="26"/>
          <w:szCs w:val="26"/>
        </w:rPr>
        <w:t xml:space="preserve">2.1  What Makes LLM Queries Long-Running</w:t>
      </w:r>
    </w:p>
    <w:p>
      <w:pPr>
        <w:spacing w:before="4" w:after="12"/>
      </w:pPr>
      <w:r>
        <w:rPr>
          <w:rFonts w:ascii="Calibri" w:cs="Calibri" w:eastAsia="Calibri" w:hAnsi="Calibri"/>
          <w:color w:val="1A1A2E"/>
          <w:sz w:val="22"/>
          <w:szCs w:val="22"/>
        </w:rPr>
        <w:t xml:space="preserve">Unlike traditional API calls that return in milliseconds, LLM inference — especially with large context models like Claude Sonnet — involves significant processing time.</w:t>
      </w:r>
    </w:p>
    <w:p>
      <w:pPr>
        <w:spacing w:before="0" w:after="4"/>
      </w:pPr>
    </w:p>
    <w:p>
      <w:pPr>
        <w:pStyle w:val="ListParagraph"/>
        <w:numPr>
          <w:ilvl w:val="0"/>
          <w:numId w:val="1"/>
        </w:numPr>
        <w:spacing w:before="4" w:after="6"/>
        <w:ind w:left="431" w:hanging="215"/>
      </w:pPr>
      <w:r>
        <w:rPr>
          <w:rFonts w:ascii="Calibri" w:cs="Calibri" w:eastAsia="Calibri" w:hAnsi="Calibri"/>
          <w:color w:val="1A1A2E"/>
          <w:sz w:val="22"/>
          <w:szCs w:val="22"/>
        </w:rPr>
        <w:t xml:space="preserve">Token generation time: Sonnet generates roughly 60–100 output tokens/second. A 2,000-word analysis report (~2,700 tokens) takes 27–45 seconds to generate fully.</w:t>
      </w:r>
    </w:p>
    <w:p>
      <w:pPr>
        <w:pStyle w:val="ListParagraph"/>
        <w:numPr>
          <w:ilvl w:val="0"/>
          <w:numId w:val="1"/>
        </w:numPr>
        <w:spacing w:before="4" w:after="6"/>
        <w:ind w:left="431" w:hanging="215"/>
      </w:pPr>
      <w:r>
        <w:rPr>
          <w:rFonts w:ascii="Calibri" w:cs="Calibri" w:eastAsia="Calibri" w:hAnsi="Calibri"/>
          <w:color w:val="1A1A2E"/>
          <w:sz w:val="22"/>
          <w:szCs w:val="22"/>
        </w:rPr>
        <w:t xml:space="preserve">Document ingestion: Parsing and chunking a 12-month bank statement PDF, extracting transaction categories, and building a financial context window can take 5–20 seconds before generation begins.</w:t>
      </w:r>
    </w:p>
    <w:p>
      <w:pPr>
        <w:pStyle w:val="ListParagraph"/>
        <w:numPr>
          <w:ilvl w:val="0"/>
          <w:numId w:val="1"/>
        </w:numPr>
        <w:spacing w:before="4" w:after="6"/>
        <w:ind w:left="431" w:hanging="215"/>
      </w:pPr>
      <w:r>
        <w:rPr>
          <w:rFonts w:ascii="Calibri" w:cs="Calibri" w:eastAsia="Calibri" w:hAnsi="Calibri"/>
          <w:color w:val="1A1A2E"/>
          <w:sz w:val="22"/>
          <w:szCs w:val="22"/>
        </w:rPr>
        <w:t xml:space="preserve">Chain-of-thought reasoning: Detailed risk assessments require multi-step reasoning, multiplying generation time by the number of reasoning passes.</w:t>
      </w:r>
    </w:p>
    <w:p>
      <w:pPr>
        <w:pStyle w:val="ListParagraph"/>
        <w:numPr>
          <w:ilvl w:val="0"/>
          <w:numId w:val="1"/>
        </w:numPr>
        <w:spacing w:before="4" w:after="6"/>
        <w:ind w:left="431" w:hanging="215"/>
      </w:pPr>
      <w:r>
        <w:rPr>
          <w:rFonts w:ascii="Calibri" w:cs="Calibri" w:eastAsia="Calibri" w:hAnsi="Calibri"/>
          <w:color w:val="1A1A2E"/>
          <w:sz w:val="22"/>
          <w:szCs w:val="22"/>
        </w:rPr>
        <w:t xml:space="preserve">Anthropic API latency: Cold-start latency on the Anthropic API (especially Sonnet) can add 2–8 seconds before the first token is returned.</w:t>
      </w:r>
    </w:p>
    <w:p>
      <w:pPr>
        <w:spacing w:before="0" w:after="8"/>
      </w:pPr>
    </w:p>
    <w:p>
      <w:pPr>
        <w:pBdr>
          <w:left w:val="single" w:color="E8A838" w:sz="12" w:space="6"/>
        </w:pBdr>
        <w:shd w:fill="FEF3CD" w:color="FEF3CD" w:val="solid"/>
        <w:spacing w:before="12" w:after="12"/>
        <w:ind w:left="431" w:right="431"/>
      </w:pPr>
      <w:r>
        <w:rPr>
          <w:rFonts w:ascii="Calibri" w:cs="Calibri" w:eastAsia="Calibri" w:hAnsi="Calibri"/>
          <w:b/>
          <w:bCs/>
          <w:color w:val="6B4A00"/>
          <w:sz w:val="22"/>
          <w:szCs w:val="22"/>
        </w:rPr>
        <w:t xml:space="preserve">⚠  Total realistic execution time for a detailed company financial health analysis using Claude Sonnet: 35–120 seconds. This exceeds Netlify's 10-second synchronous limit by a factor of 3–12x.</w:t>
      </w:r>
    </w:p>
    <w:p>
      <w:pPr>
        <w:spacing w:before="0" w:after="8"/>
      </w:pPr>
    </w:p>
    <w:p>
      <w:pPr>
        <w:pStyle w:val="Heading2"/>
        <w:pBdr>
          <w:bottom w:val="single" w:color="0D7377" w:sz="4" w:space="1"/>
        </w:pBdr>
        <w:spacing w:before="28" w:after="12"/>
      </w:pPr>
      <w:r>
        <w:rPr>
          <w:rFonts w:ascii="Calibri" w:cs="Calibri" w:eastAsia="Calibri" w:hAnsi="Calibri"/>
          <w:b/>
          <w:bCs/>
          <w:color w:val="1F3A6E"/>
          <w:sz w:val="26"/>
          <w:szCs w:val="26"/>
        </w:rPr>
        <w:t xml:space="preserve">2.2  Real-World Incident: Netlify Connection Drop</w:t>
      </w:r>
    </w:p>
    <w:p>
      <w:pPr>
        <w:spacing w:before="4" w:after="12"/>
      </w:pPr>
      <w:r>
        <w:rPr>
          <w:rFonts w:ascii="Calibri" w:cs="Calibri" w:eastAsia="Calibri" w:hAnsi="Calibri"/>
          <w:color w:val="1A1A2E"/>
          <w:sz w:val="22"/>
          <w:szCs w:val="22"/>
        </w:rPr>
        <w:t xml:space="preserve">The following scenario was directly observed during development of the EdMeCa financial analysis tool. A client uploaded a company bank statement and management accounts. The Netlify function initiated the Claude Sonnet analysis pipeline. After 10 seconds, Netlify dropped the connection and returned a 502 error to the client, even though the Anthropic API was still processing the request in the background. The financial analysis was lost — the client received no output.</w:t>
      </w:r>
    </w:p>
    <w:p>
      <w:pPr>
        <w:spacing w:before="0" w:after="4"/>
      </w:pPr>
    </w:p>
    <w:p>
      <w:pPr>
        <w:pBdr>
          <w:left w:val="single" w:color="0D7377" w:sz="12" w:space="6"/>
        </w:pBdr>
        <w:shd w:fill="F2F4F7" w:color="F2F4F7" w:val="solid"/>
        <w:spacing w:before="12" w:after="12"/>
        <w:ind w:left="431" w:right="431"/>
      </w:pPr>
      <w:r>
        <w:rPr>
          <w:rFonts w:ascii="Calibri" w:cs="Calibri" w:eastAsia="Calibri" w:hAnsi="Calibri"/>
          <w:i/>
          <w:iCs/>
          <w:color w:val="1A1A2E"/>
          <w:sz w:val="22"/>
          <w:szCs w:val="22"/>
        </w:rPr>
        <w:t xml:space="preserve">"I did a tool to do financial analysis using Haiku and Sonnet… and I found that with detailed analysis, the queries can run long and then Netlify drops the connection." — Raymond Crow, EdMeCa</w:t>
      </w:r>
    </w:p>
    <w:p>
      <w:pPr>
        <w:spacing w:before="0" w:after="8"/>
      </w:pPr>
    </w:p>
    <w:p>
      <w:pPr>
        <w:pStyle w:val="Heading2"/>
        <w:pBdr>
          <w:bottom w:val="single" w:color="0D7377" w:sz="4" w:space="1"/>
        </w:pBdr>
        <w:spacing w:before="28" w:after="12"/>
      </w:pPr>
      <w:r>
        <w:rPr>
          <w:rFonts w:ascii="Calibri" w:cs="Calibri" w:eastAsia="Calibri" w:hAnsi="Calibri"/>
          <w:b/>
          <w:bCs/>
          <w:color w:val="1F3A6E"/>
          <w:sz w:val="26"/>
          <w:szCs w:val="26"/>
        </w:rPr>
        <w:t xml:space="preserve">2.3  Financial Analysis Tool Description</w:t>
      </w:r>
    </w:p>
    <w:p>
      <w:pPr>
        <w:spacing w:before="4" w:after="12"/>
      </w:pPr>
      <w:r>
        <w:rPr>
          <w:rFonts w:ascii="Calibri" w:cs="Calibri" w:eastAsia="Calibri" w:hAnsi="Calibri"/>
          <w:color w:val="1A1A2E"/>
          <w:sz w:val="22"/>
          <w:szCs w:val="22"/>
        </w:rPr>
        <w:t xml:space="preserve">The tool in question is an AI-powered financial health analyser designed for EdMeCa Academy clients. Its capabilities include:</w:t>
      </w:r>
    </w:p>
    <w:p>
      <w:pPr>
        <w:pStyle w:val="ListParagraph"/>
        <w:numPr>
          <w:ilvl w:val="0"/>
          <w:numId w:val="1"/>
        </w:numPr>
        <w:spacing w:before="4" w:after="6"/>
        <w:ind w:left="431" w:hanging="215"/>
      </w:pPr>
      <w:r>
        <w:rPr>
          <w:rFonts w:ascii="Calibri" w:cs="Calibri" w:eastAsia="Calibri" w:hAnsi="Calibri"/>
          <w:color w:val="1A1A2E"/>
          <w:sz w:val="22"/>
          <w:szCs w:val="22"/>
        </w:rPr>
        <w:t xml:space="preserve">Accepting uploaded bank statements for a full financial year (PDF or CSV)</w:t>
      </w:r>
    </w:p>
    <w:p>
      <w:pPr>
        <w:pStyle w:val="ListParagraph"/>
        <w:numPr>
          <w:ilvl w:val="0"/>
          <w:numId w:val="1"/>
        </w:numPr>
        <w:spacing w:before="4" w:after="6"/>
        <w:ind w:left="431" w:hanging="215"/>
      </w:pPr>
      <w:r>
        <w:rPr>
          <w:rFonts w:ascii="Calibri" w:cs="Calibri" w:eastAsia="Calibri" w:hAnsi="Calibri"/>
          <w:color w:val="1A1A2E"/>
          <w:sz w:val="22"/>
          <w:szCs w:val="22"/>
        </w:rPr>
        <w:t xml:space="preserve">Accepting Management Accounts or formal Financial Statements as supplementary context</w:t>
      </w:r>
    </w:p>
    <w:p>
      <w:pPr>
        <w:pStyle w:val="ListParagraph"/>
        <w:numPr>
          <w:ilvl w:val="0"/>
          <w:numId w:val="1"/>
        </w:numPr>
        <w:spacing w:before="4" w:after="6"/>
        <w:ind w:left="431" w:hanging="215"/>
      </w:pPr>
      <w:r>
        <w:rPr>
          <w:rFonts w:ascii="Calibri" w:cs="Calibri" w:eastAsia="Calibri" w:hAnsi="Calibri"/>
          <w:color w:val="1A1A2E"/>
          <w:sz w:val="22"/>
          <w:szCs w:val="22"/>
        </w:rPr>
        <w:t xml:space="preserve">Running Claude Haiku for fast initial categorisation of transactions</w:t>
      </w:r>
    </w:p>
    <w:p>
      <w:pPr>
        <w:pStyle w:val="ListParagraph"/>
        <w:numPr>
          <w:ilvl w:val="0"/>
          <w:numId w:val="1"/>
        </w:numPr>
        <w:spacing w:before="4" w:after="6"/>
        <w:ind w:left="431" w:hanging="215"/>
      </w:pPr>
      <w:r>
        <w:rPr>
          <w:rFonts w:ascii="Calibri" w:cs="Calibri" w:eastAsia="Calibri" w:hAnsi="Calibri"/>
          <w:color w:val="1A1A2E"/>
          <w:sz w:val="22"/>
          <w:szCs w:val="22"/>
        </w:rPr>
        <w:t xml:space="preserve">Running Claude Sonnet for deep financial health assessment — cash flow analysis, burn rate, working capital, profitability trends, and risk identification</w:t>
      </w:r>
    </w:p>
    <w:p>
      <w:pPr>
        <w:pStyle w:val="ListParagraph"/>
        <w:numPr>
          <w:ilvl w:val="0"/>
          <w:numId w:val="1"/>
        </w:numPr>
        <w:spacing w:before="4" w:after="6"/>
        <w:ind w:left="431" w:hanging="215"/>
      </w:pPr>
      <w:r>
        <w:rPr>
          <w:rFonts w:ascii="Calibri" w:cs="Calibri" w:eastAsia="Calibri" w:hAnsi="Calibri"/>
          <w:color w:val="1A1A2E"/>
          <w:sz w:val="22"/>
          <w:szCs w:val="22"/>
        </w:rPr>
        <w:t xml:space="preserve">Generating actionable recommendations tailored to the company's risk profile</w:t>
      </w:r>
    </w:p>
    <w:p>
      <w:pPr>
        <w:pStyle w:val="ListParagraph"/>
        <w:numPr>
          <w:ilvl w:val="0"/>
          <w:numId w:val="1"/>
        </w:numPr>
        <w:spacing w:before="4" w:after="6"/>
        <w:ind w:left="431" w:hanging="215"/>
      </w:pPr>
      <w:r>
        <w:rPr>
          <w:rFonts w:ascii="Calibri" w:cs="Calibri" w:eastAsia="Calibri" w:hAnsi="Calibri"/>
          <w:color w:val="1A1A2E"/>
          <w:sz w:val="22"/>
          <w:szCs w:val="22"/>
        </w:rPr>
        <w:t xml:space="preserve">Producing a structured report downloadable by the client</w:t>
      </w:r>
    </w:p>
    <w:p>
      <w:pPr>
        <w:spacing w:before="0" w:after="4"/>
      </w:pPr>
    </w:p>
    <w:p>
      <w:pPr>
        <w:spacing w:before="4" w:after="12"/>
      </w:pPr>
      <w:r>
        <w:rPr>
          <w:rFonts w:ascii="Calibri" w:cs="Calibri" w:eastAsia="Calibri" w:hAnsi="Calibri"/>
          <w:color w:val="1A1A2E"/>
          <w:sz w:val="22"/>
          <w:szCs w:val="22"/>
        </w:rPr>
        <w:t xml:space="preserve">This workload is inherently long-running. The typical flow is: document parsing → context extraction → Haiku pre-processing (5–15s) → Sonnet deep analysis (30–90s) → report assembly → response. Total: 35–120 seconds. No synchronous serverless function with a sub-30s timeout can reliably serve this use case.</w:t>
      </w:r>
    </w:p>
    <w:p>
      <w:r>
        <w:br w:type="page"/>
      </w:r>
    </w:p>
    <w:p>
      <w:pPr>
        <w:pStyle w:val="Heading1"/>
        <w:shd w:fill="1F3A6E" w:color="1F3A6E" w:val="solid"/>
        <w:spacing w:before="36" w:after="16"/>
      </w:pPr>
      <w:r>
        <w:rPr>
          <w:rFonts w:ascii="Calibri" w:cs="Calibri" w:eastAsia="Calibri" w:hAnsi="Calibri"/>
          <w:b/>
          <w:bCs/>
          <w:color w:val="FFFFFF"/>
          <w:sz w:val="32"/>
          <w:szCs w:val="32"/>
        </w:rPr>
        <w:t xml:space="preserve">3.  Platform Analysis</w:t>
      </w:r>
    </w:p>
    <w:p>
      <w:pPr>
        <w:pStyle w:val="Heading2"/>
        <w:pBdr>
          <w:bottom w:val="single" w:color="0D7377" w:sz="4" w:space="1"/>
        </w:pBdr>
        <w:spacing w:before="28" w:after="12"/>
      </w:pPr>
      <w:r>
        <w:rPr>
          <w:rFonts w:ascii="Calibri" w:cs="Calibri" w:eastAsia="Calibri" w:hAnsi="Calibri"/>
          <w:b/>
          <w:bCs/>
          <w:color w:val="1F3A6E"/>
          <w:sz w:val="26"/>
          <w:szCs w:val="26"/>
        </w:rPr>
        <w:t xml:space="preserve">3.1  Netlify</w:t>
      </w:r>
    </w:p>
    <w:p>
      <w:pPr>
        <w:spacing w:before="0" w:after="4"/>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100%"/>
            <w:shd w:fill="1F3A6E" w:color="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Netlify Quick Stats</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Model</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Serverless Functions (managed Lambda-compatible execution)</w:t>
            </w:r>
          </w:p>
        </w:tc>
      </w:tr>
      <w:tr>
        <w:tc>
          <w:tcPr>
            <w:shd w:fill="FFFFFF" w:color="FFFFFF"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Free Sync Timeout</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10 seconds (hard limit — streaming also capped at 10s)</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Paid Sync Timeout</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26 seconds (Pro plan)</w:t>
            </w:r>
          </w:p>
        </w:tc>
      </w:tr>
      <w:tr>
        <w:tc>
          <w:tcPr>
            <w:shd w:fill="FFFFFF" w:color="FFFFFF"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Background Functions</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Up to 15 minutes — available on ALL plans including Free</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Pricing</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Free tier available; Pro from $19/month</w:t>
            </w:r>
          </w:p>
        </w:tc>
      </w:tr>
      <w:tr>
        <w:tc>
          <w:tcPr>
            <w:shd w:fill="FFFFFF" w:color="FFFFFF"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Current Usage</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EdMeCa production site (edmeca.co.za)</w:t>
            </w:r>
          </w:p>
        </w:tc>
      </w:tr>
    </w:tbl>
    <w:p>
      <w:pPr>
        <w:spacing w:before="0" w:after="12"/>
      </w:pPr>
    </w:p>
    <w:p>
      <w:pPr>
        <w:pStyle w:val="Heading3"/>
        <w:spacing w:before="20" w:after="8"/>
      </w:pPr>
      <w:r>
        <w:rPr>
          <w:rFonts w:ascii="Calibri" w:cs="Calibri" w:eastAsia="Calibri" w:hAnsi="Calibri"/>
          <w:b/>
          <w:bCs/>
          <w:color w:val="0D7377"/>
          <w:sz w:val="24"/>
          <w:szCs w:val="24"/>
        </w:rPr>
        <w:t xml:space="preserve">Timeout Architecture</w:t>
      </w:r>
    </w:p>
    <w:p>
      <w:pPr>
        <w:spacing w:before="4" w:after="12"/>
      </w:pPr>
      <w:r>
        <w:rPr>
          <w:rFonts w:ascii="Calibri" w:cs="Calibri" w:eastAsia="Calibri" w:hAnsi="Calibri"/>
          <w:color w:val="1A1A2E"/>
          <w:sz w:val="22"/>
          <w:szCs w:val="22"/>
        </w:rPr>
        <w:t xml:space="preserve">Netlify operates on a serverless function model built on top of AWS Lambda. When a function is invoked synchronously, the HTTP connection remains open until the function returns or the timeout is reached. On the free plan, this is 10 seconds. This is an absolute limit — there is no configuration option to extend it on the free tier. On Pro, it extends to 26 seconds. Neither value is sufficient for complex LLM analysis.</w:t>
      </w:r>
    </w:p>
    <w:p>
      <w:pPr>
        <w:spacing w:before="0" w:after="4"/>
      </w:pPr>
    </w:p>
    <w:p>
      <w:pPr>
        <w:pBdr>
          <w:left w:val="single" w:color="E8A838" w:sz="12" w:space="6"/>
        </w:pBdr>
        <w:shd w:fill="FEF3CD" w:color="FEF3CD" w:val="solid"/>
        <w:spacing w:before="12" w:after="12"/>
        <w:ind w:left="431" w:right="431"/>
      </w:pPr>
      <w:r>
        <w:rPr>
          <w:rFonts w:ascii="Calibri" w:cs="Calibri" w:eastAsia="Calibri" w:hAnsi="Calibri"/>
          <w:b/>
          <w:bCs/>
          <w:color w:val="6B4A00"/>
          <w:sz w:val="22"/>
          <w:szCs w:val="22"/>
        </w:rPr>
        <w:t xml:space="preserve">⚠  Even the paid Netlify Pro plan's 26-second sync timeout is insufficient for Claude Sonnet financial analysis, which averages 35–90 seconds.</w:t>
      </w:r>
    </w:p>
    <w:p>
      <w:pPr>
        <w:spacing w:before="0" w:after="8"/>
      </w:pPr>
    </w:p>
    <w:p>
      <w:pPr>
        <w:pStyle w:val="Heading3"/>
        <w:spacing w:before="20" w:after="8"/>
      </w:pPr>
      <w:r>
        <w:rPr>
          <w:rFonts w:ascii="Calibri" w:cs="Calibri" w:eastAsia="Calibri" w:hAnsi="Calibri"/>
          <w:b/>
          <w:bCs/>
          <w:color w:val="0D7377"/>
          <w:sz w:val="24"/>
          <w:szCs w:val="24"/>
        </w:rPr>
        <w:t xml:space="preserve">Background Functions — The Workaround</w:t>
      </w:r>
    </w:p>
    <w:p>
      <w:pPr>
        <w:spacing w:before="4" w:after="12"/>
      </w:pPr>
      <w:r>
        <w:rPr>
          <w:rFonts w:ascii="Calibri" w:cs="Calibri" w:eastAsia="Calibri" w:hAnsi="Calibri"/>
          <w:color w:val="1A1A2E"/>
          <w:sz w:val="22"/>
          <w:szCs w:val="22"/>
        </w:rPr>
        <w:t xml:space="preserve">Netlify provides "Background Functions" — an async variant where the client receives an instant 202 Accepted response, and the function continues executing for up to 15 minutes in the background. This approach technically removes the timeout barrier but introduces significant architectural complexity:</w:t>
      </w:r>
    </w:p>
    <w:p>
      <w:pPr>
        <w:pStyle w:val="ListParagraph"/>
        <w:numPr>
          <w:ilvl w:val="0"/>
          <w:numId w:val="1"/>
        </w:numPr>
        <w:spacing w:before="4" w:after="6"/>
        <w:ind w:left="431" w:hanging="215"/>
      </w:pPr>
      <w:r>
        <w:rPr>
          <w:rFonts w:ascii="Calibri" w:cs="Calibri" w:eastAsia="Calibri" w:hAnsi="Calibri"/>
          <w:color w:val="1A1A2E"/>
          <w:sz w:val="22"/>
          <w:szCs w:val="22"/>
        </w:rPr>
        <w:t xml:space="preserve">The client receives no direct response — they must poll a separate endpoint or use WebSockets to check when the analysis is complete.</w:t>
      </w:r>
    </w:p>
    <w:p>
      <w:pPr>
        <w:pStyle w:val="ListParagraph"/>
        <w:numPr>
          <w:ilvl w:val="0"/>
          <w:numId w:val="1"/>
        </w:numPr>
        <w:spacing w:before="4" w:after="6"/>
        <w:ind w:left="431" w:hanging="215"/>
      </w:pPr>
      <w:r>
        <w:rPr>
          <w:rFonts w:ascii="Calibri" w:cs="Calibri" w:eastAsia="Calibri" w:hAnsi="Calibri"/>
          <w:color w:val="1A1A2E"/>
          <w:sz w:val="22"/>
          <w:szCs w:val="22"/>
        </w:rPr>
        <w:t xml:space="preserve">Results must be persisted to a database (e.g., Supabase) mid-flight and retrieved by the client.</w:t>
      </w:r>
    </w:p>
    <w:p>
      <w:pPr>
        <w:pStyle w:val="ListParagraph"/>
        <w:numPr>
          <w:ilvl w:val="0"/>
          <w:numId w:val="1"/>
        </w:numPr>
        <w:spacing w:before="4" w:after="6"/>
        <w:ind w:left="431" w:hanging="215"/>
      </w:pPr>
      <w:r>
        <w:rPr>
          <w:rFonts w:ascii="Calibri" w:cs="Calibri" w:eastAsia="Calibri" w:hAnsi="Calibri"/>
          <w:color w:val="1A1A2E"/>
          <w:sz w:val="22"/>
          <w:szCs w:val="22"/>
        </w:rPr>
        <w:t xml:space="preserve">This requires two functions (background processor + status/result retriever), a database write mid-analysis, and client-side polling logic.</w:t>
      </w:r>
    </w:p>
    <w:p>
      <w:pPr>
        <w:pStyle w:val="ListParagraph"/>
        <w:numPr>
          <w:ilvl w:val="0"/>
          <w:numId w:val="1"/>
        </w:numPr>
        <w:spacing w:before="4" w:after="6"/>
        <w:ind w:left="431" w:hanging="215"/>
      </w:pPr>
      <w:r>
        <w:rPr>
          <w:rFonts w:ascii="Calibri" w:cs="Calibri" w:eastAsia="Calibri" w:hAnsi="Calibri"/>
          <w:color w:val="1A1A2E"/>
          <w:sz w:val="22"/>
          <w:szCs w:val="22"/>
        </w:rPr>
        <w:t xml:space="preserve">The user experience is degraded — no streaming output, no progress indicator from the LLM itself.</w:t>
      </w:r>
    </w:p>
    <w:p>
      <w:pPr>
        <w:spacing w:before="0" w:after="8"/>
      </w:pPr>
    </w:p>
    <w:p>
      <w:pPr>
        <w:pStyle w:val="Heading3"/>
        <w:spacing w:before="20" w:after="8"/>
      </w:pPr>
      <w:r>
        <w:rPr>
          <w:rFonts w:ascii="Calibri" w:cs="Calibri" w:eastAsia="Calibri" w:hAnsi="Calibri"/>
          <w:b/>
          <w:bCs/>
          <w:color w:val="0D7377"/>
          <w:sz w:val="24"/>
          <w:szCs w:val="24"/>
        </w:rPr>
        <w:t xml:space="preserve">Streaming — Partial Solution</w:t>
      </w:r>
    </w:p>
    <w:p>
      <w:pPr>
        <w:spacing w:before="4" w:after="12"/>
      </w:pPr>
      <w:r>
        <w:rPr>
          <w:rFonts w:ascii="Calibri" w:cs="Calibri" w:eastAsia="Calibri" w:hAnsi="Calibri"/>
          <w:color w:val="1A1A2E"/>
          <w:sz w:val="22"/>
          <w:szCs w:val="22"/>
        </w:rPr>
        <w:t xml:space="preserve">Netlify supports streaming responses via ReadableStream, but streaming functions are still subject to the same 10-second execution limit. This means streaming begins successfully but is forcefully terminated at 10 seconds, delivering a truncated response to the client. For a complete financial analysis, this is not viable.</w:t>
      </w:r>
    </w:p>
    <w:p>
      <w:pPr>
        <w:spacing w:before="0" w:after="8"/>
      </w:pPr>
    </w:p>
    <w:p>
      <w:pPr>
        <w:pStyle w:val="Heading3"/>
        <w:spacing w:before="20" w:after="8"/>
      </w:pPr>
      <w:r>
        <w:rPr>
          <w:rFonts w:ascii="Calibri" w:cs="Calibri" w:eastAsia="Calibri" w:hAnsi="Calibri"/>
          <w:b/>
          <w:bCs/>
          <w:color w:val="0D7377"/>
          <w:sz w:val="24"/>
          <w:szCs w:val="24"/>
        </w:rPr>
        <w:t xml:space="preserve">Verdict for LLM Financial Analysis</w:t>
      </w:r>
    </w:p>
    <w:p>
      <w:pPr>
        <w:pBdr>
          <w:left w:val="single" w:color="E8A838" w:sz="12" w:space="6"/>
        </w:pBdr>
        <w:shd w:fill="FEF3CD" w:color="FEF3CD" w:val="solid"/>
        <w:spacing w:before="12" w:after="12"/>
        <w:ind w:left="431" w:right="431"/>
      </w:pPr>
      <w:r>
        <w:rPr>
          <w:rFonts w:ascii="Calibri" w:cs="Calibri" w:eastAsia="Calibri" w:hAnsi="Calibri"/>
          <w:b/>
          <w:bCs/>
          <w:color w:val="6B4A00"/>
          <w:sz w:val="22"/>
          <w:szCs w:val="22"/>
        </w:rPr>
        <w:t xml:space="preserve">⚠  Netlify is NOT suitable as a direct synchronous host for LLM-powered financial analysis functions. A background function architecture is possible but adds weeks of development complexity and degrades user experience. Not recommended without architectural redesign.</w:t>
      </w:r>
    </w:p>
    <w:p>
      <w:pPr>
        <w:spacing w:before="0" w:after="16"/>
      </w:pPr>
    </w:p>
    <w:p>
      <w:pPr>
        <w:pStyle w:val="Heading2"/>
        <w:pBdr>
          <w:bottom w:val="single" w:color="0D7377" w:sz="4" w:space="1"/>
        </w:pBdr>
        <w:spacing w:before="28" w:after="12"/>
      </w:pPr>
      <w:r>
        <w:rPr>
          <w:rFonts w:ascii="Calibri" w:cs="Calibri" w:eastAsia="Calibri" w:hAnsi="Calibri"/>
          <w:b/>
          <w:bCs/>
          <w:color w:val="1F3A6E"/>
          <w:sz w:val="26"/>
          <w:szCs w:val="26"/>
        </w:rPr>
        <w:t xml:space="preserve">3.2  Vercel</w:t>
      </w:r>
    </w:p>
    <w:p>
      <w:pPr>
        <w:spacing w:before="0" w:after="4"/>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100%"/>
            <w:shd w:fill="1F3A6E" w:color="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Vercel Quick Stats</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Model</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Fluid Compute (default) + Serverless Functions</w:t>
            </w:r>
          </w:p>
        </w:tc>
      </w:tr>
      <w:tr>
        <w:tc>
          <w:tcPr>
            <w:shd w:fill="FFFFFF" w:color="FFFFFF"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Hobby (Free) Timeout</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300 seconds (5 minutes) with Fluid Compute enabled [default]</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Pro Timeout</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800 seconds (13 minutes) with Fluid Compute</w:t>
            </w:r>
          </w:p>
        </w:tc>
      </w:tr>
      <w:tr>
        <w:tc>
          <w:tcPr>
            <w:shd w:fill="FFFFFF" w:color="FFFFFF"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Without Fluid Compute</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Hobby: 60s  ·  Pro: 300s  ·  Enterprise: 900s</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Streaming</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Native first-class support — streams within max duration</w:t>
            </w:r>
          </w:p>
        </w:tc>
      </w:tr>
      <w:tr>
        <w:tc>
          <w:tcPr>
            <w:shd w:fill="FFFFFF" w:color="FFFFFF"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AI-specific tooling</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AI Gateway, AI SDK (@ai-sdk), v0, native Anthropic/OpenAI integrations</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Pricing</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Free (Hobby) tier — no credit card required for basic use; Pro $20/month</w:t>
            </w:r>
          </w:p>
        </w:tc>
      </w:tr>
    </w:tbl>
    <w:p>
      <w:pPr>
        <w:spacing w:before="0" w:after="12"/>
      </w:pPr>
    </w:p>
    <w:p>
      <w:pPr>
        <w:pStyle w:val="Heading3"/>
        <w:spacing w:before="20" w:after="8"/>
      </w:pPr>
      <w:r>
        <w:rPr>
          <w:rFonts w:ascii="Calibri" w:cs="Calibri" w:eastAsia="Calibri" w:hAnsi="Calibri"/>
          <w:b/>
          <w:bCs/>
          <w:color w:val="0D7377"/>
          <w:sz w:val="24"/>
          <w:szCs w:val="24"/>
        </w:rPr>
        <w:t xml:space="preserve">Fluid Compute — A Game Changer</w:t>
      </w:r>
    </w:p>
    <w:p>
      <w:pPr>
        <w:spacing w:before="4" w:after="12"/>
      </w:pPr>
      <w:r>
        <w:rPr>
          <w:rFonts w:ascii="Calibri" w:cs="Calibri" w:eastAsia="Calibri" w:hAnsi="Calibri"/>
          <w:color w:val="1A1A2E"/>
          <w:sz w:val="22"/>
          <w:szCs w:val="22"/>
        </w:rPr>
        <w:t xml:space="preserve">Vercel introduced "Fluid Compute" as the new default execution model in late 2024. Unlike traditional serverless where each function invocation creates a new container, Fluid Compute allows functions to persist between requests and pool idle CPU time. The critical impact: the maximum function duration for Hobby (free) plans expands from 60 seconds to 300 seconds.</w:t>
      </w:r>
    </w:p>
    <w:p>
      <w:pPr>
        <w:spacing w:before="0" w:after="4"/>
      </w:pPr>
    </w:p>
    <w:p>
      <w:pPr>
        <w:pBdr>
          <w:left w:val="single" w:color="27AE60" w:sz="12" w:space="6"/>
        </w:pBdr>
        <w:shd w:fill="D4EDDA" w:color="D4EDDA" w:val="solid"/>
        <w:spacing w:before="12" w:after="12"/>
        <w:ind w:left="431" w:right="431"/>
      </w:pPr>
      <w:r>
        <w:rPr>
          <w:rFonts w:ascii="Calibri" w:cs="Calibri" w:eastAsia="Calibri" w:hAnsi="Calibri"/>
          <w:b/>
          <w:bCs/>
          <w:color w:val="155724"/>
          <w:sz w:val="22"/>
          <w:szCs w:val="22"/>
        </w:rPr>
        <w:t xml:space="preserve">✓  Vercel Hobby (free) with Fluid Compute: 300-second maximum duration. This comfortably covers even the most complex Claude Sonnet financial analysis workloads (35–120s typical range).</w:t>
      </w:r>
    </w:p>
    <w:p>
      <w:pPr>
        <w:spacing w:before="0" w:after="8"/>
      </w:pPr>
    </w:p>
    <w:p>
      <w:pPr>
        <w:pStyle w:val="Heading3"/>
        <w:spacing w:before="20" w:after="8"/>
      </w:pPr>
      <w:r>
        <w:rPr>
          <w:rFonts w:ascii="Calibri" w:cs="Calibri" w:eastAsia="Calibri" w:hAnsi="Calibri"/>
          <w:b/>
          <w:bCs/>
          <w:color w:val="0D7377"/>
          <w:sz w:val="24"/>
          <w:szCs w:val="24"/>
        </w:rPr>
        <w:t xml:space="preserve">Native LLM and AI Support</w:t>
      </w:r>
    </w:p>
    <w:p>
      <w:pPr>
        <w:spacing w:before="4" w:after="12"/>
      </w:pPr>
      <w:r>
        <w:rPr>
          <w:rFonts w:ascii="Calibri" w:cs="Calibri" w:eastAsia="Calibri" w:hAnsi="Calibri"/>
          <w:color w:val="1A1A2E"/>
          <w:sz w:val="22"/>
          <w:szCs w:val="22"/>
        </w:rPr>
        <w:t xml:space="preserve">Vercel has invested heavily in first-class AI tooling, making it arguably the most LLM-optimised platform available:</w:t>
      </w:r>
    </w:p>
    <w:p>
      <w:pPr>
        <w:pStyle w:val="ListParagraph"/>
        <w:numPr>
          <w:ilvl w:val="0"/>
          <w:numId w:val="1"/>
        </w:numPr>
        <w:spacing w:before="4" w:after="6"/>
        <w:ind w:left="431" w:hanging="215"/>
      </w:pPr>
      <w:r>
        <w:rPr>
          <w:rFonts w:ascii="Calibri" w:cs="Calibri" w:eastAsia="Calibri" w:hAnsi="Calibri"/>
          <w:color w:val="1A1A2E"/>
          <w:sz w:val="22"/>
          <w:szCs w:val="22"/>
        </w:rPr>
        <w:t xml:space="preserve">AI SDK (@ai-sdk/anthropic): First-party TypeScript SDK for streaming Claude, OpenAI, and other LLM responses directly from Vercel functions with zero configuration.</w:t>
      </w:r>
    </w:p>
    <w:p>
      <w:pPr>
        <w:pStyle w:val="ListParagraph"/>
        <w:numPr>
          <w:ilvl w:val="0"/>
          <w:numId w:val="1"/>
        </w:numPr>
        <w:spacing w:before="4" w:after="6"/>
        <w:ind w:left="431" w:hanging="215"/>
      </w:pPr>
      <w:r>
        <w:rPr>
          <w:rFonts w:ascii="Calibri" w:cs="Calibri" w:eastAsia="Calibri" w:hAnsi="Calibri"/>
          <w:color w:val="1A1A2E"/>
          <w:sz w:val="22"/>
          <w:szCs w:val="22"/>
        </w:rPr>
        <w:t xml:space="preserve">AI Gateway: Caches AI API responses, provides rate limiting, and allows switching between LLM providers without code changes.</w:t>
      </w:r>
    </w:p>
    <w:p>
      <w:pPr>
        <w:pStyle w:val="ListParagraph"/>
        <w:numPr>
          <w:ilvl w:val="0"/>
          <w:numId w:val="1"/>
        </w:numPr>
        <w:spacing w:before="4" w:after="6"/>
        <w:ind w:left="431" w:hanging="215"/>
      </w:pPr>
      <w:r>
        <w:rPr>
          <w:rFonts w:ascii="Calibri" w:cs="Calibri" w:eastAsia="Calibri" w:hAnsi="Calibri"/>
          <w:color w:val="1A1A2E"/>
          <w:sz w:val="22"/>
          <w:szCs w:val="22"/>
        </w:rPr>
        <w:t xml:space="preserve">Streaming support: Full ReadableStream support within the Fluid Compute duration limit, allowing token-by-token streaming to the client for real-time output.</w:t>
      </w:r>
    </w:p>
    <w:p>
      <w:pPr>
        <w:pStyle w:val="ListParagraph"/>
        <w:numPr>
          <w:ilvl w:val="0"/>
          <w:numId w:val="1"/>
        </w:numPr>
        <w:spacing w:before="4" w:after="6"/>
        <w:ind w:left="431" w:hanging="215"/>
      </w:pPr>
      <w:r>
        <w:rPr>
          <w:rFonts w:ascii="Calibri" w:cs="Calibri" w:eastAsia="Calibri" w:hAnsi="Calibri"/>
          <w:color w:val="1A1A2E"/>
          <w:sz w:val="22"/>
          <w:szCs w:val="22"/>
        </w:rPr>
        <w:t xml:space="preserve">waitUntil: Perform post-response cleanup tasks (logging, database writes) without blocking the client response.</w:t>
      </w:r>
    </w:p>
    <w:p>
      <w:pPr>
        <w:pStyle w:val="ListParagraph"/>
        <w:numPr>
          <w:ilvl w:val="0"/>
          <w:numId w:val="1"/>
        </w:numPr>
        <w:spacing w:before="4" w:after="6"/>
        <w:ind w:left="431" w:hanging="215"/>
      </w:pPr>
      <w:r>
        <w:rPr>
          <w:rFonts w:ascii="Calibri" w:cs="Calibri" w:eastAsia="Calibri" w:hAnsi="Calibri"/>
          <w:color w:val="1A1A2E"/>
          <w:sz w:val="22"/>
          <w:szCs w:val="22"/>
        </w:rPr>
        <w:t xml:space="preserve">Edge Functions: Ultra-low latency global execution for inference routing and preprocessing.</w:t>
      </w:r>
    </w:p>
    <w:p>
      <w:pPr>
        <w:spacing w:before="0" w:after="8"/>
      </w:pPr>
    </w:p>
    <w:p>
      <w:pPr>
        <w:pStyle w:val="Heading3"/>
        <w:spacing w:before="20" w:after="8"/>
      </w:pPr>
      <w:r>
        <w:rPr>
          <w:rFonts w:ascii="Calibri" w:cs="Calibri" w:eastAsia="Calibri" w:hAnsi="Calibri"/>
          <w:b/>
          <w:bCs/>
          <w:color w:val="0D7377"/>
          <w:sz w:val="24"/>
          <w:szCs w:val="24"/>
        </w:rPr>
        <w:t xml:space="preserve">Considerations and Trade-offs</w:t>
      </w:r>
    </w:p>
    <w:p>
      <w:pPr>
        <w:pStyle w:val="ListParagraph"/>
        <w:numPr>
          <w:ilvl w:val="0"/>
          <w:numId w:val="1"/>
        </w:numPr>
        <w:spacing w:before="4" w:after="6"/>
        <w:ind w:left="431" w:hanging="215"/>
      </w:pPr>
      <w:r>
        <w:rPr>
          <w:rFonts w:ascii="Calibri" w:cs="Calibri" w:eastAsia="Calibri" w:hAnsi="Calibri"/>
          <w:color w:val="1A1A2E"/>
          <w:sz w:val="22"/>
          <w:szCs w:val="22"/>
        </w:rPr>
        <w:t xml:space="preserve">Vendor concentration: Vercel is optimised for Next.js. Vite/React SPA projects (like EdMeCa) work but require API routes structure adjustment.</w:t>
      </w:r>
    </w:p>
    <w:p>
      <w:pPr>
        <w:pStyle w:val="ListParagraph"/>
        <w:numPr>
          <w:ilvl w:val="0"/>
          <w:numId w:val="1"/>
        </w:numPr>
        <w:spacing w:before="4" w:after="6"/>
        <w:ind w:left="431" w:hanging="215"/>
      </w:pPr>
      <w:r>
        <w:rPr>
          <w:rFonts w:ascii="Calibri" w:cs="Calibri" w:eastAsia="Calibri" w:hAnsi="Calibri"/>
          <w:color w:val="1A1A2E"/>
          <w:sz w:val="22"/>
          <w:szCs w:val="22"/>
        </w:rPr>
        <w:t xml:space="preserve">Cost at scale: Free 100GB bandwidth; Pro $20/month. Function invocations and duration are billed on Pro. For high-volume LLM calls (each 60s+), costs can escalate.</w:t>
      </w:r>
    </w:p>
    <w:p>
      <w:pPr>
        <w:pStyle w:val="ListParagraph"/>
        <w:numPr>
          <w:ilvl w:val="0"/>
          <w:numId w:val="1"/>
        </w:numPr>
        <w:spacing w:before="4" w:after="6"/>
        <w:ind w:left="431" w:hanging="215"/>
      </w:pPr>
      <w:r>
        <w:rPr>
          <w:rFonts w:ascii="Calibri" w:cs="Calibri" w:eastAsia="Calibri" w:hAnsi="Calibri"/>
          <w:color w:val="1A1A2E"/>
          <w:sz w:val="22"/>
          <w:szCs w:val="22"/>
        </w:rPr>
        <w:t xml:space="preserve">Cold starts: Fluid Compute mitigates cold starts but functions inactive for 2+ weeks are archived and incur a &gt;1s spin-up penalty on first invocation.</w:t>
      </w:r>
    </w:p>
    <w:p>
      <w:pPr>
        <w:spacing w:before="0" w:after="8"/>
      </w:pPr>
    </w:p>
    <w:p>
      <w:pPr>
        <w:pStyle w:val="Heading3"/>
        <w:spacing w:before="20" w:after="8"/>
      </w:pPr>
      <w:r>
        <w:rPr>
          <w:rFonts w:ascii="Calibri" w:cs="Calibri" w:eastAsia="Calibri" w:hAnsi="Calibri"/>
          <w:b/>
          <w:bCs/>
          <w:color w:val="0D7377"/>
          <w:sz w:val="24"/>
          <w:szCs w:val="24"/>
        </w:rPr>
        <w:t xml:space="preserve">Verdict for LLM Financial Analysis</w:t>
      </w:r>
    </w:p>
    <w:p>
      <w:pPr>
        <w:pBdr>
          <w:left w:val="single" w:color="27AE60" w:sz="12" w:space="6"/>
        </w:pBdr>
        <w:shd w:fill="D4EDDA" w:color="D4EDDA" w:val="solid"/>
        <w:spacing w:before="12" w:after="12"/>
        <w:ind w:left="431" w:right="431"/>
      </w:pPr>
      <w:r>
        <w:rPr>
          <w:rFonts w:ascii="Calibri" w:cs="Calibri" w:eastAsia="Calibri" w:hAnsi="Calibri"/>
          <w:b/>
          <w:bCs/>
          <w:color w:val="155724"/>
          <w:sz w:val="22"/>
          <w:szCs w:val="22"/>
        </w:rPr>
        <w:t xml:space="preserve">✓  Vercel is HIGHLY RECOMMENDED for LLM workloads. The free Hobby plan provides 300s function duration with Fluid Compute, native AI SDK support, and first-class streaming. Migrating the EdMeCa financial analysis tool to Vercel API routes would resolve the timeout problem immediately — with no infrastructure cost change.</w:t>
      </w:r>
    </w:p>
    <w:p>
      <w:pPr>
        <w:spacing w:before="0" w:after="16"/>
      </w:pPr>
    </w:p>
    <w:p>
      <w:pPr>
        <w:pStyle w:val="Heading2"/>
        <w:pBdr>
          <w:bottom w:val="single" w:color="0D7377" w:sz="4" w:space="1"/>
        </w:pBdr>
        <w:spacing w:before="28" w:after="12"/>
      </w:pPr>
      <w:r>
        <w:rPr>
          <w:rFonts w:ascii="Calibri" w:cs="Calibri" w:eastAsia="Calibri" w:hAnsi="Calibri"/>
          <w:b/>
          <w:bCs/>
          <w:color w:val="1F3A6E"/>
          <w:sz w:val="26"/>
          <w:szCs w:val="26"/>
        </w:rPr>
        <w:t xml:space="preserve">3.3  Sevalla</w:t>
      </w:r>
    </w:p>
    <w:p>
      <w:pPr>
        <w:spacing w:before="0" w:after="4"/>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100%"/>
            <w:shd w:fill="1F3A6E" w:color="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Sevalla Quick Stats</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Model</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Container-based persistent application hosting (Kubernetes pods)</w:t>
            </w:r>
          </w:p>
        </w:tc>
      </w:tr>
      <w:tr>
        <w:tc>
          <w:tcPr>
            <w:shd w:fill="FFFFFF" w:color="FFFFFF"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Request Timeout</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No platform-imposed timeout — governed by your application server configuration</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Pricing</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Application hosting from $5/month; Static sites FREE; Free trial available</w:t>
            </w:r>
          </w:p>
        </w:tc>
      </w:tr>
      <w:tr>
        <w:tc>
          <w:tcPr>
            <w:shd w:fill="FFFFFF" w:color="FFFFFF"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Infrastructure</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25 global data centre locations; Kinsta-backed CDN; Cloudflare integration</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Scaling</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Vertical and horizontal auto-scaling; Docker-first deployment</w:t>
            </w:r>
          </w:p>
        </w:tc>
      </w:tr>
      <w:tr>
        <w:tc>
          <w:tcPr>
            <w:shd w:fill="FFFFFF" w:color="FFFFFF"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Compliance</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SOC 2 Type 2, ISO 27001, GDPR, CCPA</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Parent Company</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Kinsta — established hosting provider since 2013</w:t>
            </w:r>
          </w:p>
        </w:tc>
      </w:tr>
    </w:tbl>
    <w:p>
      <w:pPr>
        <w:spacing w:before="0" w:after="12"/>
      </w:pPr>
    </w:p>
    <w:p>
      <w:pPr>
        <w:pStyle w:val="Heading3"/>
        <w:spacing w:before="20" w:after="8"/>
      </w:pPr>
      <w:r>
        <w:rPr>
          <w:rFonts w:ascii="Calibri" w:cs="Calibri" w:eastAsia="Calibri" w:hAnsi="Calibri"/>
          <w:b/>
          <w:bCs/>
          <w:color w:val="0D7377"/>
          <w:sz w:val="24"/>
          <w:szCs w:val="24"/>
        </w:rPr>
        <w:t xml:space="preserve">Architecture: Why Persistent Containers Eliminate Timeout Problems</w:t>
      </w:r>
    </w:p>
    <w:p>
      <w:pPr>
        <w:spacing w:before="4" w:after="12"/>
      </w:pPr>
      <w:r>
        <w:rPr>
          <w:rFonts w:ascii="Calibri" w:cs="Calibri" w:eastAsia="Calibri" w:hAnsi="Calibri"/>
          <w:color w:val="1A1A2E"/>
          <w:sz w:val="22"/>
          <w:szCs w:val="22"/>
        </w:rPr>
        <w:t xml:space="preserve">Sevalla uses container-based persistent application hosting — significantly different from serverless platforms. Rather than spinning up a function per request, Sevalla runs your application as a continuously running container (pod). Your Express/Node.js server handles incoming HTTP requests and keeps the connection open for as long as your server allows.</w:t>
      </w:r>
    </w:p>
    <w:p>
      <w:pPr>
        <w:spacing w:before="0" w:after="4"/>
      </w:pPr>
    </w:p>
    <w:p>
      <w:pPr>
        <w:spacing w:before="4" w:after="12"/>
      </w:pPr>
      <w:r>
        <w:rPr>
          <w:rFonts w:ascii="Calibri" w:cs="Calibri" w:eastAsia="Calibri" w:hAnsi="Calibri"/>
          <w:color w:val="1A1A2E"/>
          <w:sz w:val="22"/>
          <w:szCs w:val="22"/>
        </w:rPr>
        <w:t xml:space="preserve">This means timeout is entirely under your control. An LLM analysis that takes 90 seconds is simply served — there is no platform-level timeout causing a connection drop. The only constraint is your HTTP server's `keepAliveTimeout` and `headersTimeout` settings, which can be configured to accommodate any workload duration.</w:t>
      </w:r>
    </w:p>
    <w:p>
      <w:pPr>
        <w:spacing w:before="0" w:after="8"/>
      </w:pPr>
    </w:p>
    <w:p>
      <w:pPr>
        <w:pStyle w:val="Heading3"/>
        <w:spacing w:before="20" w:after="8"/>
      </w:pPr>
      <w:r>
        <w:rPr>
          <w:rFonts w:ascii="Calibri" w:cs="Calibri" w:eastAsia="Calibri" w:hAnsi="Calibri"/>
          <w:b/>
          <w:bCs/>
          <w:color w:val="0D7377"/>
          <w:sz w:val="24"/>
          <w:szCs w:val="24"/>
        </w:rPr>
        <w:t xml:space="preserve">Advantages for EdMeCa's Use Case</w:t>
      </w:r>
    </w:p>
    <w:p>
      <w:pPr>
        <w:pStyle w:val="ListParagraph"/>
        <w:numPr>
          <w:ilvl w:val="0"/>
          <w:numId w:val="1"/>
        </w:numPr>
        <w:spacing w:before="4" w:after="6"/>
        <w:ind w:left="431" w:hanging="215"/>
      </w:pPr>
      <w:r>
        <w:rPr>
          <w:rFonts w:ascii="Calibri" w:cs="Calibri" w:eastAsia="Calibri" w:hAnsi="Calibri"/>
          <w:color w:val="1A1A2E"/>
          <w:sz w:val="22"/>
          <w:szCs w:val="22"/>
        </w:rPr>
        <w:t xml:space="preserve">Full server-side control: Set Node.js `res.setTimeout(180000)` for 3-minute responses — no platform involvement.</w:t>
      </w:r>
    </w:p>
    <w:p>
      <w:pPr>
        <w:pStyle w:val="ListParagraph"/>
        <w:numPr>
          <w:ilvl w:val="0"/>
          <w:numId w:val="1"/>
        </w:numPr>
        <w:spacing w:before="4" w:after="6"/>
        <w:ind w:left="431" w:hanging="215"/>
      </w:pPr>
      <w:r>
        <w:rPr>
          <w:rFonts w:ascii="Calibri" w:cs="Calibri" w:eastAsia="Calibri" w:hAnsi="Calibri"/>
          <w:color w:val="1A1A2E"/>
          <w:sz w:val="22"/>
          <w:szCs w:val="22"/>
        </w:rPr>
        <w:t xml:space="preserve">Persistent memory: In-memory caching of Anthropic client connections, document parse results, and session data persists across requests (unlike cold-start serverless).</w:t>
      </w:r>
    </w:p>
    <w:p>
      <w:pPr>
        <w:pStyle w:val="ListParagraph"/>
        <w:numPr>
          <w:ilvl w:val="0"/>
          <w:numId w:val="1"/>
        </w:numPr>
        <w:spacing w:before="4" w:after="6"/>
        <w:ind w:left="431" w:hanging="215"/>
      </w:pPr>
      <w:r>
        <w:rPr>
          <w:rFonts w:ascii="Calibri" w:cs="Calibri" w:eastAsia="Calibri" w:hAnsi="Calibri"/>
          <w:color w:val="1A1A2E"/>
          <w:sz w:val="22"/>
          <w:szCs w:val="22"/>
        </w:rPr>
        <w:t xml:space="preserve">File upload handling: Direct multipart form data handling without size or duration limitations imposed by a Function-as-a-Service layer.</w:t>
      </w:r>
    </w:p>
    <w:p>
      <w:pPr>
        <w:pStyle w:val="ListParagraph"/>
        <w:numPr>
          <w:ilvl w:val="0"/>
          <w:numId w:val="1"/>
        </w:numPr>
        <w:spacing w:before="4" w:after="6"/>
        <w:ind w:left="431" w:hanging="215"/>
      </w:pPr>
      <w:r>
        <w:rPr>
          <w:rFonts w:ascii="Calibri" w:cs="Calibri" w:eastAsia="Calibri" w:hAnsi="Calibri"/>
          <w:color w:val="1A1A2E"/>
          <w:sz w:val="22"/>
          <w:szCs w:val="22"/>
        </w:rPr>
        <w:t xml:space="preserve">WebSocket support: Native persistent WebSocket connections for real-time LLM streaming to the client — ideal for progressive financial analysis output.</w:t>
      </w:r>
    </w:p>
    <w:p>
      <w:pPr>
        <w:pStyle w:val="ListParagraph"/>
        <w:numPr>
          <w:ilvl w:val="0"/>
          <w:numId w:val="1"/>
        </w:numPr>
        <w:spacing w:before="4" w:after="6"/>
        <w:ind w:left="431" w:hanging="215"/>
      </w:pPr>
      <w:r>
        <w:rPr>
          <w:rFonts w:ascii="Calibri" w:cs="Calibri" w:eastAsia="Calibri" w:hAnsi="Calibri"/>
          <w:color w:val="1A1A2E"/>
          <w:sz w:val="22"/>
          <w:szCs w:val="22"/>
        </w:rPr>
        <w:t xml:space="preserve">25 data centres: Deploy in af-south-1 (Africa) for low-latency South African clients.</w:t>
      </w:r>
    </w:p>
    <w:p>
      <w:pPr>
        <w:spacing w:before="0" w:after="8"/>
      </w:pPr>
    </w:p>
    <w:p>
      <w:pPr>
        <w:pStyle w:val="Heading3"/>
        <w:spacing w:before="20" w:after="8"/>
      </w:pPr>
      <w:r>
        <w:rPr>
          <w:rFonts w:ascii="Calibri" w:cs="Calibri" w:eastAsia="Calibri" w:hAnsi="Calibri"/>
          <w:b/>
          <w:bCs/>
          <w:color w:val="0D7377"/>
          <w:sz w:val="24"/>
          <w:szCs w:val="24"/>
        </w:rPr>
        <w:t xml:space="preserve">Considerations</w:t>
      </w:r>
    </w:p>
    <w:p>
      <w:pPr>
        <w:pStyle w:val="ListParagraph"/>
        <w:numPr>
          <w:ilvl w:val="0"/>
          <w:numId w:val="1"/>
        </w:numPr>
        <w:spacing w:before="4" w:after="6"/>
        <w:ind w:left="431" w:hanging="215"/>
      </w:pPr>
      <w:r>
        <w:rPr>
          <w:rFonts w:ascii="Calibri" w:cs="Calibri" w:eastAsia="Calibri" w:hAnsi="Calibri"/>
          <w:color w:val="1A1A2E"/>
          <w:sz w:val="22"/>
          <w:szCs w:val="22"/>
        </w:rPr>
        <w:t xml:space="preserve">Always-on billing: Unlike serverless, you pay for uptime regardless of traffic. $5/month minimum, but this is negligible for a production SaaS product.</w:t>
      </w:r>
    </w:p>
    <w:p>
      <w:pPr>
        <w:pStyle w:val="ListParagraph"/>
        <w:numPr>
          <w:ilvl w:val="0"/>
          <w:numId w:val="1"/>
        </w:numPr>
        <w:spacing w:before="4" w:after="6"/>
        <w:ind w:left="431" w:hanging="215"/>
      </w:pPr>
      <w:r>
        <w:rPr>
          <w:rFonts w:ascii="Calibri" w:cs="Calibri" w:eastAsia="Calibri" w:hAnsi="Calibri"/>
          <w:color w:val="1A1A2E"/>
          <w:sz w:val="22"/>
          <w:szCs w:val="22"/>
        </w:rPr>
        <w:t xml:space="preserve">Deployment complexity: Requires a Dockerfile or buildpack-compatible application structure. More setup than Netlify drag-and-drop. Deploy time ~2–5 minutes.</w:t>
      </w:r>
    </w:p>
    <w:p>
      <w:pPr>
        <w:pStyle w:val="ListParagraph"/>
        <w:numPr>
          <w:ilvl w:val="0"/>
          <w:numId w:val="1"/>
        </w:numPr>
        <w:spacing w:before="4" w:after="6"/>
        <w:ind w:left="431" w:hanging="215"/>
      </w:pPr>
      <w:r>
        <w:rPr>
          <w:rFonts w:ascii="Calibri" w:cs="Calibri" w:eastAsia="Calibri" w:hAnsi="Calibri"/>
          <w:color w:val="1A1A2E"/>
          <w:sz w:val="22"/>
          <w:szCs w:val="22"/>
        </w:rPr>
        <w:t xml:space="preserve">No free tier for applications: Free trial only. Static sites are free. The financial analysis backend would require a paid application pod.</w:t>
      </w:r>
    </w:p>
    <w:p>
      <w:pPr>
        <w:spacing w:before="0" w:after="8"/>
      </w:pPr>
    </w:p>
    <w:p>
      <w:pPr>
        <w:pStyle w:val="Heading3"/>
        <w:spacing w:before="20" w:after="8"/>
      </w:pPr>
      <w:r>
        <w:rPr>
          <w:rFonts w:ascii="Calibri" w:cs="Calibri" w:eastAsia="Calibri" w:hAnsi="Calibri"/>
          <w:b/>
          <w:bCs/>
          <w:color w:val="0D7377"/>
          <w:sz w:val="24"/>
          <w:szCs w:val="24"/>
        </w:rPr>
        <w:t xml:space="preserve">Verdict for LLM Financial Analysis</w:t>
      </w:r>
    </w:p>
    <w:p>
      <w:pPr>
        <w:pBdr>
          <w:left w:val="single" w:color="27AE60" w:sz="12" w:space="6"/>
        </w:pBdr>
        <w:shd w:fill="D4EDDA" w:color="D4EDDA" w:val="solid"/>
        <w:spacing w:before="12" w:after="12"/>
        <w:ind w:left="431" w:right="431"/>
      </w:pPr>
      <w:r>
        <w:rPr>
          <w:rFonts w:ascii="Calibri" w:cs="Calibri" w:eastAsia="Calibri" w:hAnsi="Calibri"/>
          <w:b/>
          <w:bCs/>
          <w:color w:val="155724"/>
          <w:sz w:val="22"/>
          <w:szCs w:val="22"/>
        </w:rPr>
        <w:t xml:space="preserve">✓  Sevalla is HIGHLY RECOMMENDED for production LLM workloads. No timeout constraints, persistent server memory, native WebSocket streaming, 25 global regions, and enterprise-grade compliance (SOC 2, ISO 27001, GDPR). At $5/month for the entry tier, it is the best cost-to-capability ratio for a dedicated LLM backend service.</w:t>
      </w:r>
    </w:p>
    <w:p>
      <w:pPr>
        <w:spacing w:before="0" w:after="16"/>
      </w:pPr>
    </w:p>
    <w:p>
      <w:pPr>
        <w:pStyle w:val="Heading2"/>
        <w:pBdr>
          <w:bottom w:val="single" w:color="0D7377" w:sz="4" w:space="1"/>
        </w:pBdr>
        <w:spacing w:before="28" w:after="12"/>
      </w:pPr>
      <w:r>
        <w:rPr>
          <w:rFonts w:ascii="Calibri" w:cs="Calibri" w:eastAsia="Calibri" w:hAnsi="Calibri"/>
          <w:b/>
          <w:bCs/>
          <w:color w:val="1F3A6E"/>
          <w:sz w:val="26"/>
          <w:szCs w:val="26"/>
        </w:rPr>
        <w:t xml:space="preserve">3.4  Render</w:t>
      </w:r>
    </w:p>
    <w:p>
      <w:pPr>
        <w:spacing w:before="0" w:after="4"/>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100%"/>
            <w:shd w:fill="1F3A6E" w:color="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Render Quick Stats</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Model</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Persistent Web Services (long-running processes) + Background Workers</w:t>
            </w:r>
          </w:p>
        </w:tc>
      </w:tr>
      <w:tr>
        <w:tc>
          <w:tcPr>
            <w:shd w:fill="FFFFFF" w:color="FFFFFF"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Request Timeout</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No platform-imposed timeout — governed by your application configuration</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Free Tier</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Free web services available — SPINS DOWN after 15 min idle (up to 1 min cold start)</w:t>
            </w:r>
          </w:p>
        </w:tc>
      </w:tr>
      <w:tr>
        <w:tc>
          <w:tcPr>
            <w:shd w:fill="FFFFFF" w:color="FFFFFF"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Starter Tier</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$7/month — 512 MB RAM, 0.5 CPU, always-on, no spin-down</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Standard Tier</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$25/month — 2 GB RAM, 1 CPU — suited for concurrent LLM workloads</w:t>
            </w:r>
          </w:p>
        </w:tc>
      </w:tr>
      <w:tr>
        <w:tc>
          <w:tcPr>
            <w:shd w:fill="FFFFFF" w:color="FFFFFF"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Scaling</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Horizontal auto-scaling (Professional plan+); Docker-first</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Background Workers</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Dedicated always-on background processing services</w:t>
            </w:r>
          </w:p>
        </w:tc>
      </w:tr>
      <w:tr>
        <w:tc>
          <w:tcPr>
            <w:shd w:fill="FFFFFF" w:color="FFFFFF"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Compliance</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SOC 2 Type 2, ISO 27001, GDPR, HIPAA (organisation plan)</w:t>
            </w:r>
          </w:p>
        </w:tc>
      </w:tr>
    </w:tbl>
    <w:p>
      <w:pPr>
        <w:spacing w:before="0" w:after="12"/>
      </w:pPr>
    </w:p>
    <w:p>
      <w:pPr>
        <w:pStyle w:val="Heading3"/>
        <w:spacing w:before="20" w:after="8"/>
      </w:pPr>
      <w:r>
        <w:rPr>
          <w:rFonts w:ascii="Calibri" w:cs="Calibri" w:eastAsia="Calibri" w:hAnsi="Calibri"/>
          <w:b/>
          <w:bCs/>
          <w:color w:val="0D7377"/>
          <w:sz w:val="24"/>
          <w:szCs w:val="24"/>
        </w:rPr>
        <w:t xml:space="preserve">Architecture: Web Services vs. Background Workers</w:t>
      </w:r>
    </w:p>
    <w:p>
      <w:pPr>
        <w:spacing w:before="4" w:after="12"/>
      </w:pPr>
      <w:r>
        <w:rPr>
          <w:rFonts w:ascii="Calibri" w:cs="Calibri" w:eastAsia="Calibri" w:hAnsi="Calibri"/>
          <w:color w:val="1A1A2E"/>
          <w:sz w:val="22"/>
          <w:szCs w:val="22"/>
        </w:rPr>
        <w:t xml:space="preserve">Render differentiates between Web Services (HTTP-serving processes), Background Workers (async processing), and Cron Jobs. For an LLM financial analysis tool, the optimal architecture is:</w:t>
      </w:r>
    </w:p>
    <w:p>
      <w:pPr>
        <w:pStyle w:val="ListParagraph"/>
        <w:numPr>
          <w:ilvl w:val="0"/>
          <w:numId w:val="1"/>
        </w:numPr>
        <w:spacing w:before="4" w:after="6"/>
        <w:ind w:left="431" w:hanging="215"/>
      </w:pPr>
      <w:r>
        <w:rPr>
          <w:rFonts w:ascii="Calibri" w:cs="Calibri" w:eastAsia="Calibri" w:hAnsi="Calibri"/>
          <w:color w:val="1A1A2E"/>
          <w:sz w:val="22"/>
          <w:szCs w:val="22"/>
        </w:rPr>
        <w:t xml:space="preserve">Frontend: Static Site (free) — Vite/React SPA served from Render's CDN.</w:t>
      </w:r>
    </w:p>
    <w:p>
      <w:pPr>
        <w:pStyle w:val="ListParagraph"/>
        <w:numPr>
          <w:ilvl w:val="0"/>
          <w:numId w:val="1"/>
        </w:numPr>
        <w:spacing w:before="4" w:after="6"/>
        <w:ind w:left="431" w:hanging="215"/>
      </w:pPr>
      <w:r>
        <w:rPr>
          <w:rFonts w:ascii="Calibri" w:cs="Calibri" w:eastAsia="Calibri" w:hAnsi="Calibri"/>
          <w:color w:val="1A1A2E"/>
          <w:sz w:val="22"/>
          <w:szCs w:val="22"/>
        </w:rPr>
        <w:t xml:space="preserve">Analysis API: Web Service (Starter, $7/month) — persistent Node.js/Express server handling file uploads and LLM orchestration.</w:t>
      </w:r>
    </w:p>
    <w:p>
      <w:pPr>
        <w:pStyle w:val="ListParagraph"/>
        <w:numPr>
          <w:ilvl w:val="0"/>
          <w:numId w:val="1"/>
        </w:numPr>
        <w:spacing w:before="4" w:after="6"/>
        <w:ind w:left="431" w:hanging="215"/>
      </w:pPr>
      <w:r>
        <w:rPr>
          <w:rFonts w:ascii="Calibri" w:cs="Calibri" w:eastAsia="Calibri" w:hAnsi="Calibri"/>
          <w:color w:val="1A1A2E"/>
          <w:sz w:val="22"/>
          <w:szCs w:val="22"/>
        </w:rPr>
        <w:t xml:space="preserve">Heavy processing: Background Worker (optional) — for very long analyses (&gt;5 min), offload to a dedicated worker process with a result queue.</w:t>
      </w:r>
    </w:p>
    <w:p>
      <w:pPr>
        <w:spacing w:before="0" w:after="8"/>
      </w:pPr>
    </w:p>
    <w:p>
      <w:pPr>
        <w:pStyle w:val="Heading3"/>
        <w:spacing w:before="20" w:after="8"/>
      </w:pPr>
      <w:r>
        <w:rPr>
          <w:rFonts w:ascii="Calibri" w:cs="Calibri" w:eastAsia="Calibri" w:hAnsi="Calibri"/>
          <w:b/>
          <w:bCs/>
          <w:color w:val="0D7377"/>
          <w:sz w:val="24"/>
          <w:szCs w:val="24"/>
        </w:rPr>
        <w:t xml:space="preserve">Free Tier Warning</w:t>
      </w:r>
    </w:p>
    <w:p>
      <w:pPr>
        <w:pBdr>
          <w:left w:val="single" w:color="E8A838" w:sz="12" w:space="6"/>
        </w:pBdr>
        <w:shd w:fill="FEF3CD" w:color="FEF3CD" w:val="solid"/>
        <w:spacing w:before="12" w:after="12"/>
        <w:ind w:left="431" w:right="431"/>
      </w:pPr>
      <w:r>
        <w:rPr>
          <w:rFonts w:ascii="Calibri" w:cs="Calibri" w:eastAsia="Calibri" w:hAnsi="Calibri"/>
          <w:b/>
          <w:bCs/>
          <w:color w:val="6B4A00"/>
          <w:sz w:val="22"/>
          <w:szCs w:val="22"/>
        </w:rPr>
        <w:t xml:space="preserve">⚠  Render's free web services spin down after 15 minutes of inactivity. The first request after spin-down triggers a cold start of up to 60 seconds. This is unacceptable for a financial tool where a client is waiting for an LLM analysis. Use the Starter tier ($7/month) for any LLM-backed service to ensure always-on availability.</w:t>
      </w:r>
    </w:p>
    <w:p>
      <w:pPr>
        <w:spacing w:before="0" w:after="8"/>
      </w:pPr>
    </w:p>
    <w:p>
      <w:pPr>
        <w:pStyle w:val="Heading3"/>
        <w:spacing w:before="20" w:after="8"/>
      </w:pPr>
      <w:r>
        <w:rPr>
          <w:rFonts w:ascii="Calibri" w:cs="Calibri" w:eastAsia="Calibri" w:hAnsi="Calibri"/>
          <w:b/>
          <w:bCs/>
          <w:color w:val="0D7377"/>
          <w:sz w:val="24"/>
          <w:szCs w:val="24"/>
        </w:rPr>
        <w:t xml:space="preserve">LLM-Specific Strengths</w:t>
      </w:r>
    </w:p>
    <w:p>
      <w:pPr>
        <w:pStyle w:val="ListParagraph"/>
        <w:numPr>
          <w:ilvl w:val="0"/>
          <w:numId w:val="1"/>
        </w:numPr>
        <w:spacing w:before="4" w:after="6"/>
        <w:ind w:left="431" w:hanging="215"/>
      </w:pPr>
      <w:r>
        <w:rPr>
          <w:rFonts w:ascii="Calibri" w:cs="Calibri" w:eastAsia="Calibri" w:hAnsi="Calibri"/>
          <w:color w:val="1A1A2E"/>
          <w:sz w:val="22"/>
          <w:szCs w:val="22"/>
        </w:rPr>
        <w:t xml:space="preserve">Persistent server: No request timeout — a 120-second Sonnet analysis completes without interruption.</w:t>
      </w:r>
    </w:p>
    <w:p>
      <w:pPr>
        <w:pStyle w:val="ListParagraph"/>
        <w:numPr>
          <w:ilvl w:val="0"/>
          <w:numId w:val="1"/>
        </w:numPr>
        <w:spacing w:before="4" w:after="6"/>
        <w:ind w:left="431" w:hanging="215"/>
      </w:pPr>
      <w:r>
        <w:rPr>
          <w:rFonts w:ascii="Calibri" w:cs="Calibri" w:eastAsia="Calibri" w:hAnsi="Calibri"/>
          <w:color w:val="1A1A2E"/>
          <w:sz w:val="22"/>
          <w:szCs w:val="22"/>
        </w:rPr>
        <w:t xml:space="preserve">RAM options: Standard tier ($25/month) provides 2 GB RAM — sufficient for in-memory document processing, vector embeddings, and concurrent LLM requests.</w:t>
      </w:r>
    </w:p>
    <w:p>
      <w:pPr>
        <w:pStyle w:val="ListParagraph"/>
        <w:numPr>
          <w:ilvl w:val="0"/>
          <w:numId w:val="1"/>
        </w:numPr>
        <w:spacing w:before="4" w:after="6"/>
        <w:ind w:left="431" w:hanging="215"/>
      </w:pPr>
      <w:r>
        <w:rPr>
          <w:rFonts w:ascii="Calibri" w:cs="Calibri" w:eastAsia="Calibri" w:hAnsi="Calibri"/>
          <w:color w:val="1A1A2E"/>
          <w:sz w:val="22"/>
          <w:szCs w:val="22"/>
        </w:rPr>
        <w:t xml:space="preserve">Background Workers: Ideal for asynchronous document processing queues — accept upload, push to queue, worker processes it, stores result, client polls.</w:t>
      </w:r>
    </w:p>
    <w:p>
      <w:pPr>
        <w:pStyle w:val="ListParagraph"/>
        <w:numPr>
          <w:ilvl w:val="0"/>
          <w:numId w:val="1"/>
        </w:numPr>
        <w:spacing w:before="4" w:after="6"/>
        <w:ind w:left="431" w:hanging="215"/>
      </w:pPr>
      <w:r>
        <w:rPr>
          <w:rFonts w:ascii="Calibri" w:cs="Calibri" w:eastAsia="Calibri" w:hAnsi="Calibri"/>
          <w:color w:val="1A1A2E"/>
          <w:sz w:val="22"/>
          <w:szCs w:val="22"/>
        </w:rPr>
        <w:t xml:space="preserve">SSH access: Direct shell access to debug LLM integration issues in production.</w:t>
      </w:r>
    </w:p>
    <w:p>
      <w:pPr>
        <w:pStyle w:val="ListParagraph"/>
        <w:numPr>
          <w:ilvl w:val="0"/>
          <w:numId w:val="1"/>
        </w:numPr>
        <w:spacing w:before="4" w:after="6"/>
        <w:ind w:left="431" w:hanging="215"/>
      </w:pPr>
      <w:r>
        <w:rPr>
          <w:rFonts w:ascii="Calibri" w:cs="Calibri" w:eastAsia="Calibri" w:hAnsi="Calibri"/>
          <w:color w:val="1A1A2E"/>
          <w:sz w:val="22"/>
          <w:szCs w:val="22"/>
        </w:rPr>
        <w:t xml:space="preserve">Docker support: Full Docker builds — install custom PDF parsers, OCR libraries, or Python-based financial analysis dependencies alongside Node.js.</w:t>
      </w:r>
    </w:p>
    <w:p>
      <w:pPr>
        <w:spacing w:before="0" w:after="8"/>
      </w:pPr>
    </w:p>
    <w:p>
      <w:pPr>
        <w:pStyle w:val="Heading3"/>
        <w:spacing w:before="20" w:after="8"/>
      </w:pPr>
      <w:r>
        <w:rPr>
          <w:rFonts w:ascii="Calibri" w:cs="Calibri" w:eastAsia="Calibri" w:hAnsi="Calibri"/>
          <w:b/>
          <w:bCs/>
          <w:color w:val="0D7377"/>
          <w:sz w:val="24"/>
          <w:szCs w:val="24"/>
        </w:rPr>
        <w:t xml:space="preserve">Considerations</w:t>
      </w:r>
    </w:p>
    <w:p>
      <w:pPr>
        <w:pStyle w:val="ListParagraph"/>
        <w:numPr>
          <w:ilvl w:val="0"/>
          <w:numId w:val="1"/>
        </w:numPr>
        <w:spacing w:before="4" w:after="6"/>
        <w:ind w:left="431" w:hanging="215"/>
      </w:pPr>
      <w:r>
        <w:rPr>
          <w:rFonts w:ascii="Calibri" w:cs="Calibri" w:eastAsia="Calibri" w:hAnsi="Calibri"/>
          <w:color w:val="1A1A2E"/>
          <w:sz w:val="22"/>
          <w:szCs w:val="22"/>
        </w:rPr>
        <w:t xml:space="preserve">No built-in AI tooling: Unlike Vercel, Render provides no LLM-specific SDKs or AI Gateway. All LLM client setup is manual.</w:t>
      </w:r>
    </w:p>
    <w:p>
      <w:pPr>
        <w:pStyle w:val="ListParagraph"/>
        <w:numPr>
          <w:ilvl w:val="0"/>
          <w:numId w:val="1"/>
        </w:numPr>
        <w:spacing w:before="4" w:after="6"/>
        <w:ind w:left="431" w:hanging="215"/>
      </w:pPr>
      <w:r>
        <w:rPr>
          <w:rFonts w:ascii="Calibri" w:cs="Calibri" w:eastAsia="Calibri" w:hAnsi="Calibri"/>
          <w:color w:val="1A1A2E"/>
          <w:sz w:val="22"/>
          <w:szCs w:val="22"/>
        </w:rPr>
        <w:t xml:space="preserve">No edge functions: Render does not offer edge computing for ultra-low-latency preprocessing.</w:t>
      </w:r>
    </w:p>
    <w:p>
      <w:pPr>
        <w:pStyle w:val="ListParagraph"/>
        <w:numPr>
          <w:ilvl w:val="0"/>
          <w:numId w:val="1"/>
        </w:numPr>
        <w:spacing w:before="4" w:after="6"/>
        <w:ind w:left="431" w:hanging="215"/>
      </w:pPr>
      <w:r>
        <w:rPr>
          <w:rFonts w:ascii="Calibri" w:cs="Calibri" w:eastAsia="Calibri" w:hAnsi="Calibri"/>
          <w:color w:val="1A1A2E"/>
          <w:sz w:val="22"/>
          <w:szCs w:val="22"/>
        </w:rPr>
        <w:t xml:space="preserve">Pricing model: Render charges per-workspace-member on the Professional plan ($19/user/month) plus compute. Solo developers use the Hobby plan at no extra cost.</w:t>
      </w:r>
    </w:p>
    <w:p>
      <w:pPr>
        <w:spacing w:before="0" w:after="8"/>
      </w:pPr>
    </w:p>
    <w:p>
      <w:pPr>
        <w:pStyle w:val="Heading3"/>
        <w:spacing w:before="20" w:after="8"/>
      </w:pPr>
      <w:r>
        <w:rPr>
          <w:rFonts w:ascii="Calibri" w:cs="Calibri" w:eastAsia="Calibri" w:hAnsi="Calibri"/>
          <w:b/>
          <w:bCs/>
          <w:color w:val="0D7377"/>
          <w:sz w:val="24"/>
          <w:szCs w:val="24"/>
        </w:rPr>
        <w:t xml:space="preserve">Verdict for LLM Financial Analysis</w:t>
      </w:r>
    </w:p>
    <w:p>
      <w:pPr>
        <w:pBdr>
          <w:left w:val="single" w:color="27AE60" w:sz="12" w:space="6"/>
        </w:pBdr>
        <w:shd w:fill="D4EDDA" w:color="D4EDDA" w:val="solid"/>
        <w:spacing w:before="12" w:after="12"/>
        <w:ind w:left="431" w:right="431"/>
      </w:pPr>
      <w:r>
        <w:rPr>
          <w:rFonts w:ascii="Calibri" w:cs="Calibri" w:eastAsia="Calibri" w:hAnsi="Calibri"/>
          <w:b/>
          <w:bCs/>
          <w:color w:val="155724"/>
          <w:sz w:val="22"/>
          <w:szCs w:val="22"/>
        </w:rPr>
        <w:t xml:space="preserve">✓  Render is RECOMMENDED for production LLM workloads. Persistent services eliminate timeout constraints. The Starter tier ($7/month) provides always-on availability, full Docker support, and sufficient resources for single-user LLM analysis. Upgrade to Standard ($25/month) for concurrent multi-user workloads.</w:t>
      </w:r>
    </w:p>
    <w:p>
      <w:r>
        <w:br w:type="page"/>
      </w:r>
    </w:p>
    <w:p>
      <w:pPr>
        <w:pStyle w:val="Heading1"/>
        <w:shd w:fill="1F3A6E" w:color="1F3A6E" w:val="solid"/>
        <w:spacing w:before="36" w:after="16"/>
      </w:pPr>
      <w:r>
        <w:rPr>
          <w:rFonts w:ascii="Calibri" w:cs="Calibri" w:eastAsia="Calibri" w:hAnsi="Calibri"/>
          <w:b/>
          <w:bCs/>
          <w:color w:val="FFFFFF"/>
          <w:sz w:val="32"/>
          <w:szCs w:val="32"/>
        </w:rPr>
        <w:t xml:space="preserve">4.  Detailed Feature Comparison</w:t>
      </w:r>
    </w:p>
    <w:p>
      <w:pPr>
        <w:spacing w:before="0" w:after="8"/>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28%"/>
            <w:shd w:fill="162D55" w:color="162D55"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Feature / Criterion</w:t>
            </w:r>
          </w:p>
        </w:tc>
        <w:tc>
          <w:tcPr>
            <w:tcW w:type="pct" w:w="18%"/>
            <w:shd w:fill="0D7377" w:color="0D7377"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Netlify</w:t>
            </w:r>
          </w:p>
        </w:tc>
        <w:tc>
          <w:tcPr>
            <w:tcW w:type="pct" w:w="18%"/>
            <w:shd w:fill="0D7377" w:color="0D7377"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Vercel</w:t>
            </w:r>
          </w:p>
        </w:tc>
        <w:tc>
          <w:tcPr>
            <w:tcW w:type="pct" w:w="18%"/>
            <w:shd w:fill="0D7377" w:color="0D7377"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Sevalla</w:t>
            </w:r>
          </w:p>
        </w:tc>
        <w:tc>
          <w:tcPr>
            <w:tcW w:type="pct" w:w="18%"/>
            <w:shd w:fill="0D7377" w:color="0D7377"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Render</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Execution model</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Serverless functions</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Fluid Compute (serverless++)</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Persistent containers</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Persistent web services</w:t>
            </w:r>
          </w:p>
        </w:tc>
      </w:tr>
      <w:tr>
        <w:tc>
          <w:tcPr>
            <w:shd w:fill="FFFFFF" w:color="FFFFFF"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Free plan available</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Yes</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Yes</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Trial only</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Yes (spin-down)</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Free sync timeout</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10 seconds</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300 seconds</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N/A (always-on)</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N/A (always-on, but spins down)</w:t>
            </w:r>
          </w:p>
        </w:tc>
      </w:tr>
      <w:tr>
        <w:tc>
          <w:tcPr>
            <w:shd w:fill="FFFFFF" w:color="FFFFFF"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Paid sync timeout</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26 seconds (Pro)</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800 seconds (Pro)</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You control it</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You control it</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LLM streaming support</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But 10s limit on free</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Native in AI SDK</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Via your server</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Via your server</w:t>
            </w:r>
          </w:p>
        </w:tc>
      </w:tr>
      <w:tr>
        <w:tc>
          <w:tcPr>
            <w:shd w:fill="FFFFFF" w:color="FFFFFF"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Background/async execution</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15 min all plans</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via waitUntil/queue</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Background workers</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Background workers</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Native AI/LLM tooling</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C0392B"/>
                <w:sz w:val="20"/>
                <w:szCs w:val="20"/>
              </w:rPr>
              <w:t xml:space="preserve">✗  None</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AI SDK, AI Gateway, v0</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C0392B"/>
                <w:sz w:val="20"/>
                <w:szCs w:val="20"/>
              </w:rPr>
              <w:t xml:space="preserve">✗  None (BYO)</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C0392B"/>
                <w:sz w:val="20"/>
                <w:szCs w:val="20"/>
              </w:rPr>
              <w:t xml:space="preserve">✗  None (BYO)</w:t>
            </w:r>
          </w:p>
        </w:tc>
      </w:tr>
      <w:tr>
        <w:tc>
          <w:tcPr>
            <w:shd w:fill="FFFFFF" w:color="FFFFFF"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Cold start penalty</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Low (managed)</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Low (Fluid Compute)</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None (persistent)</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Up to 60s (free), None (paid)</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WebSocket support</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Via background fn</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Via Edge</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Native</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Native</w:t>
            </w:r>
          </w:p>
        </w:tc>
      </w:tr>
      <w:tr>
        <w:tc>
          <w:tcPr>
            <w:shd w:fill="FFFFFF" w:color="FFFFFF"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File upload handling</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Limited by fn size</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500 MB /tmp</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Full stream handling</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Full stream handling</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Custom Docker</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C0392B"/>
                <w:sz w:val="20"/>
                <w:szCs w:val="20"/>
              </w:rPr>
              <w:t xml:space="preserve">✗  No</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C0392B"/>
                <w:sz w:val="20"/>
                <w:szCs w:val="20"/>
              </w:rPr>
              <w:t xml:space="preserve">✗  No</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Yes</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Yes</w:t>
            </w:r>
          </w:p>
        </w:tc>
      </w:tr>
      <w:tr>
        <w:tc>
          <w:tcPr>
            <w:shd w:fill="FFFFFF" w:color="FFFFFF"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SSH / shell access</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C0392B"/>
                <w:sz w:val="20"/>
                <w:szCs w:val="20"/>
              </w:rPr>
              <w:t xml:space="preserve">✗  No</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C0392B"/>
                <w:sz w:val="20"/>
                <w:szCs w:val="20"/>
              </w:rPr>
              <w:t xml:space="preserve">✗  No</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C0392B"/>
                <w:sz w:val="20"/>
                <w:szCs w:val="20"/>
              </w:rPr>
              <w:t xml:space="preserve">✗  No (pod exec available)</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Full SSH</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Global edge regions</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6 (Fastly CDN)</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18 (Pro)</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25</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12</w:t>
            </w:r>
          </w:p>
        </w:tc>
      </w:tr>
      <w:tr>
        <w:tc>
          <w:tcPr>
            <w:shd w:fill="FFFFFF" w:color="FFFFFF"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Africa-region available</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C0392B"/>
                <w:sz w:val="20"/>
                <w:szCs w:val="20"/>
              </w:rPr>
              <w:t xml:space="preserve">✗  No</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C0392B"/>
                <w:sz w:val="20"/>
                <w:szCs w:val="20"/>
              </w:rPr>
              <w:t xml:space="preserve">✗  Not on Pro</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Yes (Johannesburg)</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C0392B"/>
                <w:sz w:val="20"/>
                <w:szCs w:val="20"/>
              </w:rPr>
              <w:t xml:space="preserve">✗  No</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Entry paid price/month</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$19 (Pro)</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$20 (Pro)</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$5 (app pod)</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$7 (Starter)</w:t>
            </w:r>
          </w:p>
        </w:tc>
      </w:tr>
      <w:tr>
        <w:tc>
          <w:tcPr>
            <w:shd w:fill="FFFFFF" w:color="FFFFFF"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SOC 2 / ISO 27001</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Yes</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Yes</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Yes</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Yes</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GDPR compliance</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Yes</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Yes</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Yes</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Yes</w:t>
            </w:r>
          </w:p>
        </w:tc>
      </w:tr>
      <w:tr>
        <w:tc>
          <w:tcPr>
            <w:shd w:fill="FFFFFF" w:color="FFFFFF"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HIPAA support</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C0392B"/>
                <w:sz w:val="20"/>
                <w:szCs w:val="20"/>
              </w:rPr>
              <w:t xml:space="preserve">✗  Not stated</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C0392B"/>
                <w:sz w:val="20"/>
                <w:szCs w:val="20"/>
              </w:rPr>
              <w:t xml:space="preserve">✗  Enterprise only</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Stated</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Organisation plan+</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Git auto-deploy</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Native</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Native</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Native</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Native</w:t>
            </w:r>
          </w:p>
        </w:tc>
      </w:tr>
      <w:tr>
        <w:tc>
          <w:tcPr>
            <w:shd w:fill="FFFFFF" w:color="FFFFFF"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Netlify Forms / edge features</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Native</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C0392B"/>
                <w:sz w:val="20"/>
                <w:szCs w:val="20"/>
              </w:rPr>
              <w:t xml:space="preserve">✗  No</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C0392B"/>
                <w:sz w:val="20"/>
                <w:szCs w:val="20"/>
              </w:rPr>
              <w:t xml:space="preserve">✗  No</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C0392B"/>
                <w:sz w:val="20"/>
                <w:szCs w:val="20"/>
              </w:rPr>
              <w:t xml:space="preserve">✗  No</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Suitability: LLM sync queries</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C0392B"/>
                <w:sz w:val="20"/>
                <w:szCs w:val="20"/>
              </w:rPr>
              <w:t xml:space="preserve">✗  Unsuitable</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27AE60"/>
                <w:sz w:val="20"/>
                <w:szCs w:val="20"/>
              </w:rPr>
              <w:t xml:space="preserve">✓✓  Excellent</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27AE60"/>
                <w:sz w:val="20"/>
                <w:szCs w:val="20"/>
              </w:rPr>
              <w:t xml:space="preserve">✓✓  Excellent</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Good</w:t>
            </w:r>
          </w:p>
        </w:tc>
      </w:tr>
      <w:tr>
        <w:tc>
          <w:tcPr>
            <w:shd w:fill="FFFFFF" w:color="FFFFFF"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Suitability: file upload + AI</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8B4A00"/>
                <w:sz w:val="20"/>
                <w:szCs w:val="20"/>
              </w:rPr>
              <w:t xml:space="preserve">⚠  Workaround needed</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Good</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27AE60"/>
                <w:sz w:val="20"/>
                <w:szCs w:val="20"/>
              </w:rPr>
              <w:t xml:space="preserve">✓✓  Excellent</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27AE60"/>
                <w:sz w:val="20"/>
                <w:szCs w:val="20"/>
              </w:rPr>
              <w:t xml:space="preserve">✓✓  Excellent</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Recommended for EdMeCa LLM</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C0392B"/>
                <w:sz w:val="20"/>
                <w:szCs w:val="20"/>
              </w:rPr>
              <w:t xml:space="preserve">✗  Not recommended</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Recommended (free tier)</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Recommended ($5/month)</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Recommended ($7/month)</w:t>
            </w:r>
          </w:p>
        </w:tc>
      </w:tr>
    </w:tbl>
    <w:p>
      <w:pPr>
        <w:spacing w:before="0" w:after="8"/>
      </w:pPr>
    </w:p>
    <w:p>
      <w:r>
        <w:br w:type="page"/>
      </w:r>
    </w:p>
    <w:p>
      <w:pPr>
        <w:pStyle w:val="Heading1"/>
        <w:shd w:fill="1F3A6E" w:color="1F3A6E" w:val="solid"/>
        <w:spacing w:before="36" w:after="16"/>
      </w:pPr>
      <w:r>
        <w:rPr>
          <w:rFonts w:ascii="Calibri" w:cs="Calibri" w:eastAsia="Calibri" w:hAnsi="Calibri"/>
          <w:b/>
          <w:bCs/>
          <w:color w:val="FFFFFF"/>
          <w:sz w:val="32"/>
          <w:szCs w:val="32"/>
        </w:rPr>
        <w:t xml:space="preserve">5.  Weighted Scoring Matrix — LLM Integration Suitability</w:t>
      </w:r>
    </w:p>
    <w:p>
      <w:pPr>
        <w:spacing w:before="0" w:after="8"/>
      </w:pPr>
    </w:p>
    <w:p>
      <w:pPr>
        <w:spacing w:before="4" w:after="12"/>
      </w:pPr>
      <w:r>
        <w:rPr>
          <w:rFonts w:ascii="Calibri" w:cs="Calibri" w:eastAsia="Calibri" w:hAnsi="Calibri"/>
          <w:color w:val="1A1A2E"/>
          <w:sz w:val="22"/>
          <w:szCs w:val="22"/>
        </w:rPr>
        <w:t xml:space="preserve">The following scoring matrix weights each criterion by its importance to the EdMeCa financial analysis LLM use case. Scores are out of 5 (●●●●● = excellent).</w:t>
      </w:r>
    </w:p>
    <w:p>
      <w:pPr>
        <w:spacing w:before="0" w:after="8"/>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W w:type="pct" w:w="34%"/>
            <w:shd w:fill="162D55" w:color="162D55"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Criterion</w:t>
            </w:r>
          </w:p>
        </w:tc>
        <w:tc>
          <w:tcPr>
            <w:tcW w:type="pct" w:w="8%"/>
            <w:shd w:fill="162D55" w:color="162D55"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Weight</w:t>
            </w:r>
          </w:p>
        </w:tc>
        <w:tc>
          <w:tcPr>
            <w:tcW w:type="pct" w:w="15%"/>
            <w:shd w:fill="0D7377" w:color="0D7377"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Netlify</w:t>
            </w:r>
          </w:p>
        </w:tc>
        <w:tc>
          <w:tcPr>
            <w:tcW w:type="pct" w:w="15%"/>
            <w:shd w:fill="0D7377" w:color="0D7377"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Vercel</w:t>
            </w:r>
          </w:p>
        </w:tc>
        <w:tc>
          <w:tcPr>
            <w:tcW w:type="pct" w:w="15%"/>
            <w:shd w:fill="0D7377" w:color="0D7377"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Sevalla</w:t>
            </w:r>
          </w:p>
        </w:tc>
        <w:tc>
          <w:tcPr>
            <w:tcW w:type="pct" w:w="13%"/>
            <w:shd w:fill="0D7377" w:color="0D7377"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Render</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Timeout — LLM query duration</w:t>
            </w:r>
          </w:p>
        </w:tc>
        <w:tc>
          <w:tcPr>
            <w:shd w:fill="F2F4F7" w:color="F2F4F7" w:val="solid"/>
            <w:tcMar>
              <w:top w:type="dxa" w:w="6"/>
              <w:left w:type="dxa" w:w="10"/>
              <w:bottom w:type="dxa" w:w="6"/>
              <w:right w:type="dxa" w:w="10"/>
            </w:tcMar>
            <w:vAlign w:val="center"/>
          </w:tcPr>
          <w:p>
            <w:pPr>
              <w:jc w:val="center"/>
            </w:pPr>
            <w:r>
              <w:rPr>
                <w:rFonts w:ascii="Calibri" w:cs="Calibri" w:eastAsia="Calibri" w:hAnsi="Calibri"/>
                <w:b w:val="false"/>
                <w:bCs w:val="false"/>
                <w:color w:val="D0D5DD"/>
                <w:sz w:val="20"/>
                <w:szCs w:val="20"/>
              </w:rPr>
              <w:t xml:space="preserve">30%</w:t>
            </w:r>
          </w:p>
        </w:tc>
        <w:tc>
          <w:tcPr>
            <w:shd w:fill="FFFFFF" w:val="solid"/>
            <w:tcMar>
              <w:top w:type="dxa" w:w="6"/>
              <w:left w:type="dxa" w:w="10"/>
              <w:bottom w:type="dxa" w:w="6"/>
              <w:right w:type="dxa" w:w="10"/>
            </w:tcMar>
            <w:vAlign w:val="center"/>
          </w:tcPr>
          <w:p>
            <w:pPr>
              <w:jc w:val="center"/>
            </w:pPr>
            <w:r>
              <w:rPr>
                <w:rFonts w:ascii="Calibri" w:cs="Calibri" w:eastAsia="Calibri" w:hAnsi="Calibri"/>
                <w:color w:val="C0392B"/>
                <w:sz w:val="18"/>
                <w:szCs w:val="18"/>
              </w:rPr>
              <w:t xml:space="preserve">●</w:t>
            </w:r>
            <w:r>
              <w:rPr>
                <w:rFonts w:ascii="Calibri" w:cs="Calibri" w:eastAsia="Calibri" w:hAnsi="Calibri"/>
                <w:color w:val="CCCCCC"/>
                <w:sz w:val="18"/>
                <w:szCs w:val="18"/>
              </w:rPr>
              <w:t xml:space="preserve">○○○○</w:t>
            </w:r>
          </w:p>
        </w:tc>
        <w:tc>
          <w:tcPr>
            <w:shd w:fill="FFFFFF" w:val="solid"/>
            <w:tcMar>
              <w:top w:type="dxa" w:w="6"/>
              <w:left w:type="dxa" w:w="10"/>
              <w:bottom w:type="dxa" w:w="6"/>
              <w:right w:type="dxa" w:w="10"/>
            </w:tcMar>
            <w:vAlign w:val="center"/>
          </w:tcPr>
          <w:p>
            <w:pPr>
              <w:jc w:val="center"/>
            </w:pPr>
            <w:r>
              <w:rPr>
                <w:rFonts w:ascii="Calibri" w:cs="Calibri" w:eastAsia="Calibri" w:hAnsi="Calibri"/>
                <w:color w:val="27AE60"/>
                <w:sz w:val="18"/>
                <w:szCs w:val="18"/>
              </w:rPr>
              <w:t xml:space="preserve">●●●●●</w:t>
            </w:r>
            <w:r>
              <w:rPr>
                <w:rFonts w:ascii="Calibri" w:cs="Calibri" w:eastAsia="Calibri" w:hAnsi="Calibri"/>
                <w:color w:val="CCCCCC"/>
                <w:sz w:val="18"/>
                <w:szCs w:val="18"/>
              </w:rPr>
              <w:t xml:space="preserve"/>
            </w:r>
          </w:p>
        </w:tc>
        <w:tc>
          <w:tcPr>
            <w:shd w:fill="FFFFFF" w:val="solid"/>
            <w:tcMar>
              <w:top w:type="dxa" w:w="6"/>
              <w:left w:type="dxa" w:w="10"/>
              <w:bottom w:type="dxa" w:w="6"/>
              <w:right w:type="dxa" w:w="10"/>
            </w:tcMar>
            <w:vAlign w:val="center"/>
          </w:tcPr>
          <w:p>
            <w:pPr>
              <w:jc w:val="center"/>
            </w:pPr>
            <w:r>
              <w:rPr>
                <w:rFonts w:ascii="Calibri" w:cs="Calibri" w:eastAsia="Calibri" w:hAnsi="Calibri"/>
                <w:color w:val="27AE60"/>
                <w:sz w:val="18"/>
                <w:szCs w:val="18"/>
              </w:rPr>
              <w:t xml:space="preserve">●●●●●</w:t>
            </w:r>
            <w:r>
              <w:rPr>
                <w:rFonts w:ascii="Calibri" w:cs="Calibri" w:eastAsia="Calibri" w:hAnsi="Calibri"/>
                <w:color w:val="CCCCCC"/>
                <w:sz w:val="18"/>
                <w:szCs w:val="18"/>
              </w:rPr>
              <w:t xml:space="preserve"/>
            </w:r>
          </w:p>
        </w:tc>
        <w:tc>
          <w:tcPr>
            <w:shd w:fill="FFFFFF" w:val="solid"/>
            <w:tcMar>
              <w:top w:type="dxa" w:w="6"/>
              <w:left w:type="dxa" w:w="10"/>
              <w:bottom w:type="dxa" w:w="6"/>
              <w:right w:type="dxa" w:w="10"/>
            </w:tcMar>
            <w:vAlign w:val="center"/>
          </w:tcPr>
          <w:p>
            <w:pPr>
              <w:jc w:val="center"/>
            </w:pPr>
            <w:r>
              <w:rPr>
                <w:rFonts w:ascii="Calibri" w:cs="Calibri" w:eastAsia="Calibri" w:hAnsi="Calibri"/>
                <w:color w:val="27AE60"/>
                <w:sz w:val="18"/>
                <w:szCs w:val="18"/>
              </w:rPr>
              <w:t xml:space="preserve">●●●●●</w:t>
            </w:r>
            <w:r>
              <w:rPr>
                <w:rFonts w:ascii="Calibri" w:cs="Calibri" w:eastAsia="Calibri" w:hAnsi="Calibri"/>
                <w:color w:val="CCCCCC"/>
                <w:sz w:val="18"/>
                <w:szCs w:val="18"/>
              </w:rPr>
              <w:t xml:space="preserve"/>
            </w:r>
          </w:p>
        </w:tc>
      </w:tr>
      <w:tr>
        <w:tc>
          <w:tcPr>
            <w:shd w:fill="FFFFFF" w:color="FFFFFF"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LLM/AI native tooling</w:t>
            </w:r>
          </w:p>
        </w:tc>
        <w:tc>
          <w:tcPr>
            <w:shd w:fill="FFFFFF" w:color="FFFFFF" w:val="solid"/>
            <w:tcMar>
              <w:top w:type="dxa" w:w="6"/>
              <w:left w:type="dxa" w:w="10"/>
              <w:bottom w:type="dxa" w:w="6"/>
              <w:right w:type="dxa" w:w="10"/>
            </w:tcMar>
            <w:vAlign w:val="center"/>
          </w:tcPr>
          <w:p>
            <w:pPr>
              <w:jc w:val="center"/>
            </w:pPr>
            <w:r>
              <w:rPr>
                <w:rFonts w:ascii="Calibri" w:cs="Calibri" w:eastAsia="Calibri" w:hAnsi="Calibri"/>
                <w:b w:val="false"/>
                <w:bCs w:val="false"/>
                <w:color w:val="D0D5DD"/>
                <w:sz w:val="20"/>
                <w:szCs w:val="20"/>
              </w:rPr>
              <w:t xml:space="preserve">20%</w:t>
            </w:r>
          </w:p>
        </w:tc>
        <w:tc>
          <w:tcPr>
            <w:shd w:fill="FFFFFF" w:val="solid"/>
            <w:tcMar>
              <w:top w:type="dxa" w:w="6"/>
              <w:left w:type="dxa" w:w="10"/>
              <w:bottom w:type="dxa" w:w="6"/>
              <w:right w:type="dxa" w:w="10"/>
            </w:tcMar>
            <w:vAlign w:val="center"/>
          </w:tcPr>
          <w:p>
            <w:pPr>
              <w:jc w:val="center"/>
            </w:pPr>
            <w:r>
              <w:rPr>
                <w:rFonts w:ascii="Calibri" w:cs="Calibri" w:eastAsia="Calibri" w:hAnsi="Calibri"/>
                <w:color w:val="C0392B"/>
                <w:sz w:val="18"/>
                <w:szCs w:val="18"/>
              </w:rPr>
              <w:t xml:space="preserve">●</w:t>
            </w:r>
            <w:r>
              <w:rPr>
                <w:rFonts w:ascii="Calibri" w:cs="Calibri" w:eastAsia="Calibri" w:hAnsi="Calibri"/>
                <w:color w:val="CCCCCC"/>
                <w:sz w:val="18"/>
                <w:szCs w:val="18"/>
              </w:rPr>
              <w:t xml:space="preserve">○○○○</w:t>
            </w:r>
          </w:p>
        </w:tc>
        <w:tc>
          <w:tcPr>
            <w:shd w:fill="FFFFFF" w:val="solid"/>
            <w:tcMar>
              <w:top w:type="dxa" w:w="6"/>
              <w:left w:type="dxa" w:w="10"/>
              <w:bottom w:type="dxa" w:w="6"/>
              <w:right w:type="dxa" w:w="10"/>
            </w:tcMar>
            <w:vAlign w:val="center"/>
          </w:tcPr>
          <w:p>
            <w:pPr>
              <w:jc w:val="center"/>
            </w:pPr>
            <w:r>
              <w:rPr>
                <w:rFonts w:ascii="Calibri" w:cs="Calibri" w:eastAsia="Calibri" w:hAnsi="Calibri"/>
                <w:color w:val="27AE60"/>
                <w:sz w:val="18"/>
                <w:szCs w:val="18"/>
              </w:rPr>
              <w:t xml:space="preserve">●●●●●</w:t>
            </w:r>
            <w:r>
              <w:rPr>
                <w:rFonts w:ascii="Calibri" w:cs="Calibri" w:eastAsia="Calibri" w:hAnsi="Calibri"/>
                <w:color w:val="CCCCCC"/>
                <w:sz w:val="18"/>
                <w:szCs w:val="18"/>
              </w:rPr>
              <w:t xml:space="preserve"/>
            </w:r>
          </w:p>
        </w:tc>
        <w:tc>
          <w:tcPr>
            <w:shd w:fill="FFFFFF" w:val="solid"/>
            <w:tcMar>
              <w:top w:type="dxa" w:w="6"/>
              <w:left w:type="dxa" w:w="10"/>
              <w:bottom w:type="dxa" w:w="6"/>
              <w:right w:type="dxa" w:w="10"/>
            </w:tcMar>
            <w:vAlign w:val="center"/>
          </w:tcPr>
          <w:p>
            <w:pPr>
              <w:jc w:val="center"/>
            </w:pPr>
            <w:r>
              <w:rPr>
                <w:rFonts w:ascii="Calibri" w:cs="Calibri" w:eastAsia="Calibri" w:hAnsi="Calibri"/>
                <w:color w:val="E8A838"/>
                <w:sz w:val="18"/>
                <w:szCs w:val="18"/>
              </w:rPr>
              <w:t xml:space="preserve">●●●</w:t>
            </w:r>
            <w:r>
              <w:rPr>
                <w:rFonts w:ascii="Calibri" w:cs="Calibri" w:eastAsia="Calibri" w:hAnsi="Calibri"/>
                <w:color w:val="CCCCCC"/>
                <w:sz w:val="18"/>
                <w:szCs w:val="18"/>
              </w:rPr>
              <w:t xml:space="preserve">○○</w:t>
            </w:r>
          </w:p>
        </w:tc>
        <w:tc>
          <w:tcPr>
            <w:shd w:fill="FFFFFF" w:val="solid"/>
            <w:tcMar>
              <w:top w:type="dxa" w:w="6"/>
              <w:left w:type="dxa" w:w="10"/>
              <w:bottom w:type="dxa" w:w="6"/>
              <w:right w:type="dxa" w:w="10"/>
            </w:tcMar>
            <w:vAlign w:val="center"/>
          </w:tcPr>
          <w:p>
            <w:pPr>
              <w:jc w:val="center"/>
            </w:pPr>
            <w:r>
              <w:rPr>
                <w:rFonts w:ascii="Calibri" w:cs="Calibri" w:eastAsia="Calibri" w:hAnsi="Calibri"/>
                <w:color w:val="E8A838"/>
                <w:sz w:val="18"/>
                <w:szCs w:val="18"/>
              </w:rPr>
              <w:t xml:space="preserve">●●●</w:t>
            </w:r>
            <w:r>
              <w:rPr>
                <w:rFonts w:ascii="Calibri" w:cs="Calibri" w:eastAsia="Calibri" w:hAnsi="Calibri"/>
                <w:color w:val="CCCCCC"/>
                <w:sz w:val="18"/>
                <w:szCs w:val="18"/>
              </w:rPr>
              <w:t xml:space="preserve">○○</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Streaming support</w:t>
            </w:r>
          </w:p>
        </w:tc>
        <w:tc>
          <w:tcPr>
            <w:shd w:fill="F2F4F7" w:color="F2F4F7" w:val="solid"/>
            <w:tcMar>
              <w:top w:type="dxa" w:w="6"/>
              <w:left w:type="dxa" w:w="10"/>
              <w:bottom w:type="dxa" w:w="6"/>
              <w:right w:type="dxa" w:w="10"/>
            </w:tcMar>
            <w:vAlign w:val="center"/>
          </w:tcPr>
          <w:p>
            <w:pPr>
              <w:jc w:val="center"/>
            </w:pPr>
            <w:r>
              <w:rPr>
                <w:rFonts w:ascii="Calibri" w:cs="Calibri" w:eastAsia="Calibri" w:hAnsi="Calibri"/>
                <w:b w:val="false"/>
                <w:bCs w:val="false"/>
                <w:color w:val="D0D5DD"/>
                <w:sz w:val="20"/>
                <w:szCs w:val="20"/>
              </w:rPr>
              <w:t xml:space="preserve">15%</w:t>
            </w:r>
          </w:p>
        </w:tc>
        <w:tc>
          <w:tcPr>
            <w:shd w:fill="FFFFFF" w:val="solid"/>
            <w:tcMar>
              <w:top w:type="dxa" w:w="6"/>
              <w:left w:type="dxa" w:w="10"/>
              <w:bottom w:type="dxa" w:w="6"/>
              <w:right w:type="dxa" w:w="10"/>
            </w:tcMar>
            <w:vAlign w:val="center"/>
          </w:tcPr>
          <w:p>
            <w:pPr>
              <w:jc w:val="center"/>
            </w:pPr>
            <w:r>
              <w:rPr>
                <w:rFonts w:ascii="Calibri" w:cs="Calibri" w:eastAsia="Calibri" w:hAnsi="Calibri"/>
                <w:color w:val="C0392B"/>
                <w:sz w:val="18"/>
                <w:szCs w:val="18"/>
              </w:rPr>
              <w:t xml:space="preserve">●●</w:t>
            </w:r>
            <w:r>
              <w:rPr>
                <w:rFonts w:ascii="Calibri" w:cs="Calibri" w:eastAsia="Calibri" w:hAnsi="Calibri"/>
                <w:color w:val="CCCCCC"/>
                <w:sz w:val="18"/>
                <w:szCs w:val="18"/>
              </w:rPr>
              <w:t xml:space="preserve">○○○</w:t>
            </w:r>
          </w:p>
        </w:tc>
        <w:tc>
          <w:tcPr>
            <w:shd w:fill="FFFFFF" w:val="solid"/>
            <w:tcMar>
              <w:top w:type="dxa" w:w="6"/>
              <w:left w:type="dxa" w:w="10"/>
              <w:bottom w:type="dxa" w:w="6"/>
              <w:right w:type="dxa" w:w="10"/>
            </w:tcMar>
            <w:vAlign w:val="center"/>
          </w:tcPr>
          <w:p>
            <w:pPr>
              <w:jc w:val="center"/>
            </w:pPr>
            <w:r>
              <w:rPr>
                <w:rFonts w:ascii="Calibri" w:cs="Calibri" w:eastAsia="Calibri" w:hAnsi="Calibri"/>
                <w:color w:val="27AE60"/>
                <w:sz w:val="18"/>
                <w:szCs w:val="18"/>
              </w:rPr>
              <w:t xml:space="preserve">●●●●●</w:t>
            </w:r>
            <w:r>
              <w:rPr>
                <w:rFonts w:ascii="Calibri" w:cs="Calibri" w:eastAsia="Calibri" w:hAnsi="Calibri"/>
                <w:color w:val="CCCCCC"/>
                <w:sz w:val="18"/>
                <w:szCs w:val="18"/>
              </w:rPr>
              <w:t xml:space="preserve"/>
            </w:r>
          </w:p>
        </w:tc>
        <w:tc>
          <w:tcPr>
            <w:shd w:fill="FFFFFF" w:val="solid"/>
            <w:tcMar>
              <w:top w:type="dxa" w:w="6"/>
              <w:left w:type="dxa" w:w="10"/>
              <w:bottom w:type="dxa" w:w="6"/>
              <w:right w:type="dxa" w:w="10"/>
            </w:tcMar>
            <w:vAlign w:val="center"/>
          </w:tcPr>
          <w:p>
            <w:pPr>
              <w:jc w:val="center"/>
            </w:pPr>
            <w:r>
              <w:rPr>
                <w:rFonts w:ascii="Calibri" w:cs="Calibri" w:eastAsia="Calibri" w:hAnsi="Calibri"/>
                <w:color w:val="27AE60"/>
                <w:sz w:val="18"/>
                <w:szCs w:val="18"/>
              </w:rPr>
              <w:t xml:space="preserve">●●●●</w:t>
            </w:r>
            <w:r>
              <w:rPr>
                <w:rFonts w:ascii="Calibri" w:cs="Calibri" w:eastAsia="Calibri" w:hAnsi="Calibri"/>
                <w:color w:val="CCCCCC"/>
                <w:sz w:val="18"/>
                <w:szCs w:val="18"/>
              </w:rPr>
              <w:t xml:space="preserve">○</w:t>
            </w:r>
          </w:p>
        </w:tc>
        <w:tc>
          <w:tcPr>
            <w:shd w:fill="FFFFFF" w:val="solid"/>
            <w:tcMar>
              <w:top w:type="dxa" w:w="6"/>
              <w:left w:type="dxa" w:w="10"/>
              <w:bottom w:type="dxa" w:w="6"/>
              <w:right w:type="dxa" w:w="10"/>
            </w:tcMar>
            <w:vAlign w:val="center"/>
          </w:tcPr>
          <w:p>
            <w:pPr>
              <w:jc w:val="center"/>
            </w:pPr>
            <w:r>
              <w:rPr>
                <w:rFonts w:ascii="Calibri" w:cs="Calibri" w:eastAsia="Calibri" w:hAnsi="Calibri"/>
                <w:color w:val="27AE60"/>
                <w:sz w:val="18"/>
                <w:szCs w:val="18"/>
              </w:rPr>
              <w:t xml:space="preserve">●●●●</w:t>
            </w:r>
            <w:r>
              <w:rPr>
                <w:rFonts w:ascii="Calibri" w:cs="Calibri" w:eastAsia="Calibri" w:hAnsi="Calibri"/>
                <w:color w:val="CCCCCC"/>
                <w:sz w:val="18"/>
                <w:szCs w:val="18"/>
              </w:rPr>
              <w:t xml:space="preserve">○</w:t>
            </w:r>
          </w:p>
        </w:tc>
      </w:tr>
      <w:tr>
        <w:tc>
          <w:tcPr>
            <w:shd w:fill="FFFFFF" w:color="FFFFFF"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File upload + document processing</w:t>
            </w:r>
          </w:p>
        </w:tc>
        <w:tc>
          <w:tcPr>
            <w:shd w:fill="FFFFFF" w:color="FFFFFF" w:val="solid"/>
            <w:tcMar>
              <w:top w:type="dxa" w:w="6"/>
              <w:left w:type="dxa" w:w="10"/>
              <w:bottom w:type="dxa" w:w="6"/>
              <w:right w:type="dxa" w:w="10"/>
            </w:tcMar>
            <w:vAlign w:val="center"/>
          </w:tcPr>
          <w:p>
            <w:pPr>
              <w:jc w:val="center"/>
            </w:pPr>
            <w:r>
              <w:rPr>
                <w:rFonts w:ascii="Calibri" w:cs="Calibri" w:eastAsia="Calibri" w:hAnsi="Calibri"/>
                <w:b w:val="false"/>
                <w:bCs w:val="false"/>
                <w:color w:val="D0D5DD"/>
                <w:sz w:val="20"/>
                <w:szCs w:val="20"/>
              </w:rPr>
              <w:t xml:space="preserve">10%</w:t>
            </w:r>
          </w:p>
        </w:tc>
        <w:tc>
          <w:tcPr>
            <w:shd w:fill="FFFFFF" w:val="solid"/>
            <w:tcMar>
              <w:top w:type="dxa" w:w="6"/>
              <w:left w:type="dxa" w:w="10"/>
              <w:bottom w:type="dxa" w:w="6"/>
              <w:right w:type="dxa" w:w="10"/>
            </w:tcMar>
            <w:vAlign w:val="center"/>
          </w:tcPr>
          <w:p>
            <w:pPr>
              <w:jc w:val="center"/>
            </w:pPr>
            <w:r>
              <w:rPr>
                <w:rFonts w:ascii="Calibri" w:cs="Calibri" w:eastAsia="Calibri" w:hAnsi="Calibri"/>
                <w:color w:val="E8A838"/>
                <w:sz w:val="18"/>
                <w:szCs w:val="18"/>
              </w:rPr>
              <w:t xml:space="preserve">●●●</w:t>
            </w:r>
            <w:r>
              <w:rPr>
                <w:rFonts w:ascii="Calibri" w:cs="Calibri" w:eastAsia="Calibri" w:hAnsi="Calibri"/>
                <w:color w:val="CCCCCC"/>
                <w:sz w:val="18"/>
                <w:szCs w:val="18"/>
              </w:rPr>
              <w:t xml:space="preserve">○○</w:t>
            </w:r>
          </w:p>
        </w:tc>
        <w:tc>
          <w:tcPr>
            <w:shd w:fill="FFFFFF" w:val="solid"/>
            <w:tcMar>
              <w:top w:type="dxa" w:w="6"/>
              <w:left w:type="dxa" w:w="10"/>
              <w:bottom w:type="dxa" w:w="6"/>
              <w:right w:type="dxa" w:w="10"/>
            </w:tcMar>
            <w:vAlign w:val="center"/>
          </w:tcPr>
          <w:p>
            <w:pPr>
              <w:jc w:val="center"/>
            </w:pPr>
            <w:r>
              <w:rPr>
                <w:rFonts w:ascii="Calibri" w:cs="Calibri" w:eastAsia="Calibri" w:hAnsi="Calibri"/>
                <w:color w:val="E8A838"/>
                <w:sz w:val="18"/>
                <w:szCs w:val="18"/>
              </w:rPr>
              <w:t xml:space="preserve">●●●</w:t>
            </w:r>
            <w:r>
              <w:rPr>
                <w:rFonts w:ascii="Calibri" w:cs="Calibri" w:eastAsia="Calibri" w:hAnsi="Calibri"/>
                <w:color w:val="CCCCCC"/>
                <w:sz w:val="18"/>
                <w:szCs w:val="18"/>
              </w:rPr>
              <w:t xml:space="preserve">○○</w:t>
            </w:r>
          </w:p>
        </w:tc>
        <w:tc>
          <w:tcPr>
            <w:shd w:fill="FFFFFF" w:val="solid"/>
            <w:tcMar>
              <w:top w:type="dxa" w:w="6"/>
              <w:left w:type="dxa" w:w="10"/>
              <w:bottom w:type="dxa" w:w="6"/>
              <w:right w:type="dxa" w:w="10"/>
            </w:tcMar>
            <w:vAlign w:val="center"/>
          </w:tcPr>
          <w:p>
            <w:pPr>
              <w:jc w:val="center"/>
            </w:pPr>
            <w:r>
              <w:rPr>
                <w:rFonts w:ascii="Calibri" w:cs="Calibri" w:eastAsia="Calibri" w:hAnsi="Calibri"/>
                <w:color w:val="27AE60"/>
                <w:sz w:val="18"/>
                <w:szCs w:val="18"/>
              </w:rPr>
              <w:t xml:space="preserve">●●●●●</w:t>
            </w:r>
            <w:r>
              <w:rPr>
                <w:rFonts w:ascii="Calibri" w:cs="Calibri" w:eastAsia="Calibri" w:hAnsi="Calibri"/>
                <w:color w:val="CCCCCC"/>
                <w:sz w:val="18"/>
                <w:szCs w:val="18"/>
              </w:rPr>
              <w:t xml:space="preserve"/>
            </w:r>
          </w:p>
        </w:tc>
        <w:tc>
          <w:tcPr>
            <w:shd w:fill="FFFFFF" w:val="solid"/>
            <w:tcMar>
              <w:top w:type="dxa" w:w="6"/>
              <w:left w:type="dxa" w:w="10"/>
              <w:bottom w:type="dxa" w:w="6"/>
              <w:right w:type="dxa" w:w="10"/>
            </w:tcMar>
            <w:vAlign w:val="center"/>
          </w:tcPr>
          <w:p>
            <w:pPr>
              <w:jc w:val="center"/>
            </w:pPr>
            <w:r>
              <w:rPr>
                <w:rFonts w:ascii="Calibri" w:cs="Calibri" w:eastAsia="Calibri" w:hAnsi="Calibri"/>
                <w:color w:val="27AE60"/>
                <w:sz w:val="18"/>
                <w:szCs w:val="18"/>
              </w:rPr>
              <w:t xml:space="preserve">●●●●●</w:t>
            </w:r>
            <w:r>
              <w:rPr>
                <w:rFonts w:ascii="Calibri" w:cs="Calibri" w:eastAsia="Calibri" w:hAnsi="Calibri"/>
                <w:color w:val="CCCCCC"/>
                <w:sz w:val="18"/>
                <w:szCs w:val="18"/>
              </w:rPr>
              <w:t xml:space="preserve"/>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Cold start behaviour</w:t>
            </w:r>
          </w:p>
        </w:tc>
        <w:tc>
          <w:tcPr>
            <w:shd w:fill="F2F4F7" w:color="F2F4F7" w:val="solid"/>
            <w:tcMar>
              <w:top w:type="dxa" w:w="6"/>
              <w:left w:type="dxa" w:w="10"/>
              <w:bottom w:type="dxa" w:w="6"/>
              <w:right w:type="dxa" w:w="10"/>
            </w:tcMar>
            <w:vAlign w:val="center"/>
          </w:tcPr>
          <w:p>
            <w:pPr>
              <w:jc w:val="center"/>
            </w:pPr>
            <w:r>
              <w:rPr>
                <w:rFonts w:ascii="Calibri" w:cs="Calibri" w:eastAsia="Calibri" w:hAnsi="Calibri"/>
                <w:b w:val="false"/>
                <w:bCs w:val="false"/>
                <w:color w:val="D0D5DD"/>
                <w:sz w:val="20"/>
                <w:szCs w:val="20"/>
              </w:rPr>
              <w:t xml:space="preserve">5%</w:t>
            </w:r>
          </w:p>
        </w:tc>
        <w:tc>
          <w:tcPr>
            <w:shd w:fill="FFFFFF" w:val="solid"/>
            <w:tcMar>
              <w:top w:type="dxa" w:w="6"/>
              <w:left w:type="dxa" w:w="10"/>
              <w:bottom w:type="dxa" w:w="6"/>
              <w:right w:type="dxa" w:w="10"/>
            </w:tcMar>
            <w:vAlign w:val="center"/>
          </w:tcPr>
          <w:p>
            <w:pPr>
              <w:jc w:val="center"/>
            </w:pPr>
            <w:r>
              <w:rPr>
                <w:rFonts w:ascii="Calibri" w:cs="Calibri" w:eastAsia="Calibri" w:hAnsi="Calibri"/>
                <w:color w:val="27AE60"/>
                <w:sz w:val="18"/>
                <w:szCs w:val="18"/>
              </w:rPr>
              <w:t xml:space="preserve">●●●●</w:t>
            </w:r>
            <w:r>
              <w:rPr>
                <w:rFonts w:ascii="Calibri" w:cs="Calibri" w:eastAsia="Calibri" w:hAnsi="Calibri"/>
                <w:color w:val="CCCCCC"/>
                <w:sz w:val="18"/>
                <w:szCs w:val="18"/>
              </w:rPr>
              <w:t xml:space="preserve">○</w:t>
            </w:r>
          </w:p>
        </w:tc>
        <w:tc>
          <w:tcPr>
            <w:shd w:fill="FFFFFF" w:val="solid"/>
            <w:tcMar>
              <w:top w:type="dxa" w:w="6"/>
              <w:left w:type="dxa" w:w="10"/>
              <w:bottom w:type="dxa" w:w="6"/>
              <w:right w:type="dxa" w:w="10"/>
            </w:tcMar>
            <w:vAlign w:val="center"/>
          </w:tcPr>
          <w:p>
            <w:pPr>
              <w:jc w:val="center"/>
            </w:pPr>
            <w:r>
              <w:rPr>
                <w:rFonts w:ascii="Calibri" w:cs="Calibri" w:eastAsia="Calibri" w:hAnsi="Calibri"/>
                <w:color w:val="27AE60"/>
                <w:sz w:val="18"/>
                <w:szCs w:val="18"/>
              </w:rPr>
              <w:t xml:space="preserve">●●●●</w:t>
            </w:r>
            <w:r>
              <w:rPr>
                <w:rFonts w:ascii="Calibri" w:cs="Calibri" w:eastAsia="Calibri" w:hAnsi="Calibri"/>
                <w:color w:val="CCCCCC"/>
                <w:sz w:val="18"/>
                <w:szCs w:val="18"/>
              </w:rPr>
              <w:t xml:space="preserve">○</w:t>
            </w:r>
          </w:p>
        </w:tc>
        <w:tc>
          <w:tcPr>
            <w:shd w:fill="FFFFFF" w:val="solid"/>
            <w:tcMar>
              <w:top w:type="dxa" w:w="6"/>
              <w:left w:type="dxa" w:w="10"/>
              <w:bottom w:type="dxa" w:w="6"/>
              <w:right w:type="dxa" w:w="10"/>
            </w:tcMar>
            <w:vAlign w:val="center"/>
          </w:tcPr>
          <w:p>
            <w:pPr>
              <w:jc w:val="center"/>
            </w:pPr>
            <w:r>
              <w:rPr>
                <w:rFonts w:ascii="Calibri" w:cs="Calibri" w:eastAsia="Calibri" w:hAnsi="Calibri"/>
                <w:color w:val="27AE60"/>
                <w:sz w:val="18"/>
                <w:szCs w:val="18"/>
              </w:rPr>
              <w:t xml:space="preserve">●●●●●</w:t>
            </w:r>
            <w:r>
              <w:rPr>
                <w:rFonts w:ascii="Calibri" w:cs="Calibri" w:eastAsia="Calibri" w:hAnsi="Calibri"/>
                <w:color w:val="CCCCCC"/>
                <w:sz w:val="18"/>
                <w:szCs w:val="18"/>
              </w:rPr>
              <w:t xml:space="preserve"/>
            </w:r>
          </w:p>
        </w:tc>
        <w:tc>
          <w:tcPr>
            <w:shd w:fill="FFFFFF" w:val="solid"/>
            <w:tcMar>
              <w:top w:type="dxa" w:w="6"/>
              <w:left w:type="dxa" w:w="10"/>
              <w:bottom w:type="dxa" w:w="6"/>
              <w:right w:type="dxa" w:w="10"/>
            </w:tcMar>
            <w:vAlign w:val="center"/>
          </w:tcPr>
          <w:p>
            <w:pPr>
              <w:jc w:val="center"/>
            </w:pPr>
            <w:r>
              <w:rPr>
                <w:rFonts w:ascii="Calibri" w:cs="Calibri" w:eastAsia="Calibri" w:hAnsi="Calibri"/>
                <w:color w:val="C0392B"/>
                <w:sz w:val="18"/>
                <w:szCs w:val="18"/>
              </w:rPr>
              <w:t xml:space="preserve">●●</w:t>
            </w:r>
            <w:r>
              <w:rPr>
                <w:rFonts w:ascii="Calibri" w:cs="Calibri" w:eastAsia="Calibri" w:hAnsi="Calibri"/>
                <w:color w:val="CCCCCC"/>
                <w:sz w:val="18"/>
                <w:szCs w:val="18"/>
              </w:rPr>
              <w:t xml:space="preserve">○○○</w:t>
            </w:r>
          </w:p>
        </w:tc>
      </w:tr>
      <w:tr>
        <w:tc>
          <w:tcPr>
            <w:shd w:fill="FFFFFF" w:color="FFFFFF"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Cost at entry tier</w:t>
            </w:r>
          </w:p>
        </w:tc>
        <w:tc>
          <w:tcPr>
            <w:shd w:fill="FFFFFF" w:color="FFFFFF" w:val="solid"/>
            <w:tcMar>
              <w:top w:type="dxa" w:w="6"/>
              <w:left w:type="dxa" w:w="10"/>
              <w:bottom w:type="dxa" w:w="6"/>
              <w:right w:type="dxa" w:w="10"/>
            </w:tcMar>
            <w:vAlign w:val="center"/>
          </w:tcPr>
          <w:p>
            <w:pPr>
              <w:jc w:val="center"/>
            </w:pPr>
            <w:r>
              <w:rPr>
                <w:rFonts w:ascii="Calibri" w:cs="Calibri" w:eastAsia="Calibri" w:hAnsi="Calibri"/>
                <w:b w:val="false"/>
                <w:bCs w:val="false"/>
                <w:color w:val="D0D5DD"/>
                <w:sz w:val="20"/>
                <w:szCs w:val="20"/>
              </w:rPr>
              <w:t xml:space="preserve">5%</w:t>
            </w:r>
          </w:p>
        </w:tc>
        <w:tc>
          <w:tcPr>
            <w:shd w:fill="FFFFFF" w:val="solid"/>
            <w:tcMar>
              <w:top w:type="dxa" w:w="6"/>
              <w:left w:type="dxa" w:w="10"/>
              <w:bottom w:type="dxa" w:w="6"/>
              <w:right w:type="dxa" w:w="10"/>
            </w:tcMar>
            <w:vAlign w:val="center"/>
          </w:tcPr>
          <w:p>
            <w:pPr>
              <w:jc w:val="center"/>
            </w:pPr>
            <w:r>
              <w:rPr>
                <w:rFonts w:ascii="Calibri" w:cs="Calibri" w:eastAsia="Calibri" w:hAnsi="Calibri"/>
                <w:color w:val="E8A838"/>
                <w:sz w:val="18"/>
                <w:szCs w:val="18"/>
              </w:rPr>
              <w:t xml:space="preserve">●●●</w:t>
            </w:r>
            <w:r>
              <w:rPr>
                <w:rFonts w:ascii="Calibri" w:cs="Calibri" w:eastAsia="Calibri" w:hAnsi="Calibri"/>
                <w:color w:val="CCCCCC"/>
                <w:sz w:val="18"/>
                <w:szCs w:val="18"/>
              </w:rPr>
              <w:t xml:space="preserve">○○</w:t>
            </w:r>
          </w:p>
        </w:tc>
        <w:tc>
          <w:tcPr>
            <w:shd w:fill="FFFFFF" w:val="solid"/>
            <w:tcMar>
              <w:top w:type="dxa" w:w="6"/>
              <w:left w:type="dxa" w:w="10"/>
              <w:bottom w:type="dxa" w:w="6"/>
              <w:right w:type="dxa" w:w="10"/>
            </w:tcMar>
            <w:vAlign w:val="center"/>
          </w:tcPr>
          <w:p>
            <w:pPr>
              <w:jc w:val="center"/>
            </w:pPr>
            <w:r>
              <w:rPr>
                <w:rFonts w:ascii="Calibri" w:cs="Calibri" w:eastAsia="Calibri" w:hAnsi="Calibri"/>
                <w:color w:val="27AE60"/>
                <w:sz w:val="18"/>
                <w:szCs w:val="18"/>
              </w:rPr>
              <w:t xml:space="preserve">●●●●</w:t>
            </w:r>
            <w:r>
              <w:rPr>
                <w:rFonts w:ascii="Calibri" w:cs="Calibri" w:eastAsia="Calibri" w:hAnsi="Calibri"/>
                <w:color w:val="CCCCCC"/>
                <w:sz w:val="18"/>
                <w:szCs w:val="18"/>
              </w:rPr>
              <w:t xml:space="preserve">○</w:t>
            </w:r>
          </w:p>
        </w:tc>
        <w:tc>
          <w:tcPr>
            <w:shd w:fill="FFFFFF" w:val="solid"/>
            <w:tcMar>
              <w:top w:type="dxa" w:w="6"/>
              <w:left w:type="dxa" w:w="10"/>
              <w:bottom w:type="dxa" w:w="6"/>
              <w:right w:type="dxa" w:w="10"/>
            </w:tcMar>
            <w:vAlign w:val="center"/>
          </w:tcPr>
          <w:p>
            <w:pPr>
              <w:jc w:val="center"/>
            </w:pPr>
            <w:r>
              <w:rPr>
                <w:rFonts w:ascii="Calibri" w:cs="Calibri" w:eastAsia="Calibri" w:hAnsi="Calibri"/>
                <w:color w:val="27AE60"/>
                <w:sz w:val="18"/>
                <w:szCs w:val="18"/>
              </w:rPr>
              <w:t xml:space="preserve">●●●●●</w:t>
            </w:r>
            <w:r>
              <w:rPr>
                <w:rFonts w:ascii="Calibri" w:cs="Calibri" w:eastAsia="Calibri" w:hAnsi="Calibri"/>
                <w:color w:val="CCCCCC"/>
                <w:sz w:val="18"/>
                <w:szCs w:val="18"/>
              </w:rPr>
              <w:t xml:space="preserve"/>
            </w:r>
          </w:p>
        </w:tc>
        <w:tc>
          <w:tcPr>
            <w:shd w:fill="FFFFFF" w:val="solid"/>
            <w:tcMar>
              <w:top w:type="dxa" w:w="6"/>
              <w:left w:type="dxa" w:w="10"/>
              <w:bottom w:type="dxa" w:w="6"/>
              <w:right w:type="dxa" w:w="10"/>
            </w:tcMar>
            <w:vAlign w:val="center"/>
          </w:tcPr>
          <w:p>
            <w:pPr>
              <w:jc w:val="center"/>
            </w:pPr>
            <w:r>
              <w:rPr>
                <w:rFonts w:ascii="Calibri" w:cs="Calibri" w:eastAsia="Calibri" w:hAnsi="Calibri"/>
                <w:color w:val="27AE60"/>
                <w:sz w:val="18"/>
                <w:szCs w:val="18"/>
              </w:rPr>
              <w:t xml:space="preserve">●●●●</w:t>
            </w:r>
            <w:r>
              <w:rPr>
                <w:rFonts w:ascii="Calibri" w:cs="Calibri" w:eastAsia="Calibri" w:hAnsi="Calibri"/>
                <w:color w:val="CCCCCC"/>
                <w:sz w:val="18"/>
                <w:szCs w:val="18"/>
              </w:rPr>
              <w:t xml:space="preserve">○</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Compliance (SOC2, GDPR)</w:t>
            </w:r>
          </w:p>
        </w:tc>
        <w:tc>
          <w:tcPr>
            <w:shd w:fill="F2F4F7" w:color="F2F4F7" w:val="solid"/>
            <w:tcMar>
              <w:top w:type="dxa" w:w="6"/>
              <w:left w:type="dxa" w:w="10"/>
              <w:bottom w:type="dxa" w:w="6"/>
              <w:right w:type="dxa" w:w="10"/>
            </w:tcMar>
            <w:vAlign w:val="center"/>
          </w:tcPr>
          <w:p>
            <w:pPr>
              <w:jc w:val="center"/>
            </w:pPr>
            <w:r>
              <w:rPr>
                <w:rFonts w:ascii="Calibri" w:cs="Calibri" w:eastAsia="Calibri" w:hAnsi="Calibri"/>
                <w:b w:val="false"/>
                <w:bCs w:val="false"/>
                <w:color w:val="D0D5DD"/>
                <w:sz w:val="20"/>
                <w:szCs w:val="20"/>
              </w:rPr>
              <w:t xml:space="preserve">5%</w:t>
            </w:r>
          </w:p>
        </w:tc>
        <w:tc>
          <w:tcPr>
            <w:shd w:fill="FFFFFF" w:val="solid"/>
            <w:tcMar>
              <w:top w:type="dxa" w:w="6"/>
              <w:left w:type="dxa" w:w="10"/>
              <w:bottom w:type="dxa" w:w="6"/>
              <w:right w:type="dxa" w:w="10"/>
            </w:tcMar>
            <w:vAlign w:val="center"/>
          </w:tcPr>
          <w:p>
            <w:pPr>
              <w:jc w:val="center"/>
            </w:pPr>
            <w:r>
              <w:rPr>
                <w:rFonts w:ascii="Calibri" w:cs="Calibri" w:eastAsia="Calibri" w:hAnsi="Calibri"/>
                <w:color w:val="27AE60"/>
                <w:sz w:val="18"/>
                <w:szCs w:val="18"/>
              </w:rPr>
              <w:t xml:space="preserve">●●●●</w:t>
            </w:r>
            <w:r>
              <w:rPr>
                <w:rFonts w:ascii="Calibri" w:cs="Calibri" w:eastAsia="Calibri" w:hAnsi="Calibri"/>
                <w:color w:val="CCCCCC"/>
                <w:sz w:val="18"/>
                <w:szCs w:val="18"/>
              </w:rPr>
              <w:t xml:space="preserve">○</w:t>
            </w:r>
          </w:p>
        </w:tc>
        <w:tc>
          <w:tcPr>
            <w:shd w:fill="FFFFFF" w:val="solid"/>
            <w:tcMar>
              <w:top w:type="dxa" w:w="6"/>
              <w:left w:type="dxa" w:w="10"/>
              <w:bottom w:type="dxa" w:w="6"/>
              <w:right w:type="dxa" w:w="10"/>
            </w:tcMar>
            <w:vAlign w:val="center"/>
          </w:tcPr>
          <w:p>
            <w:pPr>
              <w:jc w:val="center"/>
            </w:pPr>
            <w:r>
              <w:rPr>
                <w:rFonts w:ascii="Calibri" w:cs="Calibri" w:eastAsia="Calibri" w:hAnsi="Calibri"/>
                <w:color w:val="27AE60"/>
                <w:sz w:val="18"/>
                <w:szCs w:val="18"/>
              </w:rPr>
              <w:t xml:space="preserve">●●●●</w:t>
            </w:r>
            <w:r>
              <w:rPr>
                <w:rFonts w:ascii="Calibri" w:cs="Calibri" w:eastAsia="Calibri" w:hAnsi="Calibri"/>
                <w:color w:val="CCCCCC"/>
                <w:sz w:val="18"/>
                <w:szCs w:val="18"/>
              </w:rPr>
              <w:t xml:space="preserve">○</w:t>
            </w:r>
          </w:p>
        </w:tc>
        <w:tc>
          <w:tcPr>
            <w:shd w:fill="FFFFFF" w:val="solid"/>
            <w:tcMar>
              <w:top w:type="dxa" w:w="6"/>
              <w:left w:type="dxa" w:w="10"/>
              <w:bottom w:type="dxa" w:w="6"/>
              <w:right w:type="dxa" w:w="10"/>
            </w:tcMar>
            <w:vAlign w:val="center"/>
          </w:tcPr>
          <w:p>
            <w:pPr>
              <w:jc w:val="center"/>
            </w:pPr>
            <w:r>
              <w:rPr>
                <w:rFonts w:ascii="Calibri" w:cs="Calibri" w:eastAsia="Calibri" w:hAnsi="Calibri"/>
                <w:color w:val="27AE60"/>
                <w:sz w:val="18"/>
                <w:szCs w:val="18"/>
              </w:rPr>
              <w:t xml:space="preserve">●●●●●</w:t>
            </w:r>
            <w:r>
              <w:rPr>
                <w:rFonts w:ascii="Calibri" w:cs="Calibri" w:eastAsia="Calibri" w:hAnsi="Calibri"/>
                <w:color w:val="CCCCCC"/>
                <w:sz w:val="18"/>
                <w:szCs w:val="18"/>
              </w:rPr>
              <w:t xml:space="preserve"/>
            </w:r>
          </w:p>
        </w:tc>
        <w:tc>
          <w:tcPr>
            <w:shd w:fill="FFFFFF" w:val="solid"/>
            <w:tcMar>
              <w:top w:type="dxa" w:w="6"/>
              <w:left w:type="dxa" w:w="10"/>
              <w:bottom w:type="dxa" w:w="6"/>
              <w:right w:type="dxa" w:w="10"/>
            </w:tcMar>
            <w:vAlign w:val="center"/>
          </w:tcPr>
          <w:p>
            <w:pPr>
              <w:jc w:val="center"/>
            </w:pPr>
            <w:r>
              <w:rPr>
                <w:rFonts w:ascii="Calibri" w:cs="Calibri" w:eastAsia="Calibri" w:hAnsi="Calibri"/>
                <w:color w:val="27AE60"/>
                <w:sz w:val="18"/>
                <w:szCs w:val="18"/>
              </w:rPr>
              <w:t xml:space="preserve">●●●●●</w:t>
            </w:r>
            <w:r>
              <w:rPr>
                <w:rFonts w:ascii="Calibri" w:cs="Calibri" w:eastAsia="Calibri" w:hAnsi="Calibri"/>
                <w:color w:val="CCCCCC"/>
                <w:sz w:val="18"/>
                <w:szCs w:val="18"/>
              </w:rPr>
              <w:t xml:space="preserve"/>
            </w:r>
          </w:p>
        </w:tc>
      </w:tr>
      <w:tr>
        <w:tc>
          <w:tcPr>
            <w:shd w:fill="FFFFFF" w:color="FFFFFF"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Africa region availability</w:t>
            </w:r>
          </w:p>
        </w:tc>
        <w:tc>
          <w:tcPr>
            <w:shd w:fill="FFFFFF" w:color="FFFFFF" w:val="solid"/>
            <w:tcMar>
              <w:top w:type="dxa" w:w="6"/>
              <w:left w:type="dxa" w:w="10"/>
              <w:bottom w:type="dxa" w:w="6"/>
              <w:right w:type="dxa" w:w="10"/>
            </w:tcMar>
            <w:vAlign w:val="center"/>
          </w:tcPr>
          <w:p>
            <w:pPr>
              <w:jc w:val="center"/>
            </w:pPr>
            <w:r>
              <w:rPr>
                <w:rFonts w:ascii="Calibri" w:cs="Calibri" w:eastAsia="Calibri" w:hAnsi="Calibri"/>
                <w:b w:val="false"/>
                <w:bCs w:val="false"/>
                <w:color w:val="D0D5DD"/>
                <w:sz w:val="20"/>
                <w:szCs w:val="20"/>
              </w:rPr>
              <w:t xml:space="preserve">5%</w:t>
            </w:r>
          </w:p>
        </w:tc>
        <w:tc>
          <w:tcPr>
            <w:shd w:fill="FFFFFF" w:val="solid"/>
            <w:tcMar>
              <w:top w:type="dxa" w:w="6"/>
              <w:left w:type="dxa" w:w="10"/>
              <w:bottom w:type="dxa" w:w="6"/>
              <w:right w:type="dxa" w:w="10"/>
            </w:tcMar>
            <w:vAlign w:val="center"/>
          </w:tcPr>
          <w:p>
            <w:pPr>
              <w:jc w:val="center"/>
            </w:pPr>
            <w:r>
              <w:rPr>
                <w:rFonts w:ascii="Calibri" w:cs="Calibri" w:eastAsia="Calibri" w:hAnsi="Calibri"/>
                <w:color w:val="C0392B"/>
                <w:sz w:val="18"/>
                <w:szCs w:val="18"/>
              </w:rPr>
              <w:t xml:space="preserve">●</w:t>
            </w:r>
            <w:r>
              <w:rPr>
                <w:rFonts w:ascii="Calibri" w:cs="Calibri" w:eastAsia="Calibri" w:hAnsi="Calibri"/>
                <w:color w:val="CCCCCC"/>
                <w:sz w:val="18"/>
                <w:szCs w:val="18"/>
              </w:rPr>
              <w:t xml:space="preserve">○○○○</w:t>
            </w:r>
          </w:p>
        </w:tc>
        <w:tc>
          <w:tcPr>
            <w:shd w:fill="FFFFFF" w:val="solid"/>
            <w:tcMar>
              <w:top w:type="dxa" w:w="6"/>
              <w:left w:type="dxa" w:w="10"/>
              <w:bottom w:type="dxa" w:w="6"/>
              <w:right w:type="dxa" w:w="10"/>
            </w:tcMar>
            <w:vAlign w:val="center"/>
          </w:tcPr>
          <w:p>
            <w:pPr>
              <w:jc w:val="center"/>
            </w:pPr>
            <w:r>
              <w:rPr>
                <w:rFonts w:ascii="Calibri" w:cs="Calibri" w:eastAsia="Calibri" w:hAnsi="Calibri"/>
                <w:color w:val="C0392B"/>
                <w:sz w:val="18"/>
                <w:szCs w:val="18"/>
              </w:rPr>
              <w:t xml:space="preserve">●</w:t>
            </w:r>
            <w:r>
              <w:rPr>
                <w:rFonts w:ascii="Calibri" w:cs="Calibri" w:eastAsia="Calibri" w:hAnsi="Calibri"/>
                <w:color w:val="CCCCCC"/>
                <w:sz w:val="18"/>
                <w:szCs w:val="18"/>
              </w:rPr>
              <w:t xml:space="preserve">○○○○</w:t>
            </w:r>
          </w:p>
        </w:tc>
        <w:tc>
          <w:tcPr>
            <w:shd w:fill="FFFFFF" w:val="solid"/>
            <w:tcMar>
              <w:top w:type="dxa" w:w="6"/>
              <w:left w:type="dxa" w:w="10"/>
              <w:bottom w:type="dxa" w:w="6"/>
              <w:right w:type="dxa" w:w="10"/>
            </w:tcMar>
            <w:vAlign w:val="center"/>
          </w:tcPr>
          <w:p>
            <w:pPr>
              <w:jc w:val="center"/>
            </w:pPr>
            <w:r>
              <w:rPr>
                <w:rFonts w:ascii="Calibri" w:cs="Calibri" w:eastAsia="Calibri" w:hAnsi="Calibri"/>
                <w:color w:val="27AE60"/>
                <w:sz w:val="18"/>
                <w:szCs w:val="18"/>
              </w:rPr>
              <w:t xml:space="preserve">●●●●●</w:t>
            </w:r>
            <w:r>
              <w:rPr>
                <w:rFonts w:ascii="Calibri" w:cs="Calibri" w:eastAsia="Calibri" w:hAnsi="Calibri"/>
                <w:color w:val="CCCCCC"/>
                <w:sz w:val="18"/>
                <w:szCs w:val="18"/>
              </w:rPr>
              <w:t xml:space="preserve"/>
            </w:r>
          </w:p>
        </w:tc>
        <w:tc>
          <w:tcPr>
            <w:shd w:fill="FFFFFF" w:val="solid"/>
            <w:tcMar>
              <w:top w:type="dxa" w:w="6"/>
              <w:left w:type="dxa" w:w="10"/>
              <w:bottom w:type="dxa" w:w="6"/>
              <w:right w:type="dxa" w:w="10"/>
            </w:tcMar>
            <w:vAlign w:val="center"/>
          </w:tcPr>
          <w:p>
            <w:pPr>
              <w:jc w:val="center"/>
            </w:pPr>
            <w:r>
              <w:rPr>
                <w:rFonts w:ascii="Calibri" w:cs="Calibri" w:eastAsia="Calibri" w:hAnsi="Calibri"/>
                <w:color w:val="C0392B"/>
                <w:sz w:val="18"/>
                <w:szCs w:val="18"/>
              </w:rPr>
              <w:t xml:space="preserve">●</w:t>
            </w:r>
            <w:r>
              <w:rPr>
                <w:rFonts w:ascii="Calibri" w:cs="Calibri" w:eastAsia="Calibri" w:hAnsi="Calibri"/>
                <w:color w:val="CCCCCC"/>
                <w:sz w:val="18"/>
                <w:szCs w:val="18"/>
              </w:rPr>
              <w:t xml:space="preserve">○○○○</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Developer experience</w:t>
            </w:r>
          </w:p>
        </w:tc>
        <w:tc>
          <w:tcPr>
            <w:shd w:fill="F2F4F7" w:color="F2F4F7" w:val="solid"/>
            <w:tcMar>
              <w:top w:type="dxa" w:w="6"/>
              <w:left w:type="dxa" w:w="10"/>
              <w:bottom w:type="dxa" w:w="6"/>
              <w:right w:type="dxa" w:w="10"/>
            </w:tcMar>
            <w:vAlign w:val="center"/>
          </w:tcPr>
          <w:p>
            <w:pPr>
              <w:jc w:val="center"/>
            </w:pPr>
            <w:r>
              <w:rPr>
                <w:rFonts w:ascii="Calibri" w:cs="Calibri" w:eastAsia="Calibri" w:hAnsi="Calibri"/>
                <w:b w:val="false"/>
                <w:bCs w:val="false"/>
                <w:color w:val="D0D5DD"/>
                <w:sz w:val="20"/>
                <w:szCs w:val="20"/>
              </w:rPr>
              <w:t xml:space="preserve">5%</w:t>
            </w:r>
          </w:p>
        </w:tc>
        <w:tc>
          <w:tcPr>
            <w:shd w:fill="FFFFFF" w:val="solid"/>
            <w:tcMar>
              <w:top w:type="dxa" w:w="6"/>
              <w:left w:type="dxa" w:w="10"/>
              <w:bottom w:type="dxa" w:w="6"/>
              <w:right w:type="dxa" w:w="10"/>
            </w:tcMar>
            <w:vAlign w:val="center"/>
          </w:tcPr>
          <w:p>
            <w:pPr>
              <w:jc w:val="center"/>
            </w:pPr>
            <w:r>
              <w:rPr>
                <w:rFonts w:ascii="Calibri" w:cs="Calibri" w:eastAsia="Calibri" w:hAnsi="Calibri"/>
                <w:color w:val="27AE60"/>
                <w:sz w:val="18"/>
                <w:szCs w:val="18"/>
              </w:rPr>
              <w:t xml:space="preserve">●●●●●</w:t>
            </w:r>
            <w:r>
              <w:rPr>
                <w:rFonts w:ascii="Calibri" w:cs="Calibri" w:eastAsia="Calibri" w:hAnsi="Calibri"/>
                <w:color w:val="CCCCCC"/>
                <w:sz w:val="18"/>
                <w:szCs w:val="18"/>
              </w:rPr>
              <w:t xml:space="preserve"/>
            </w:r>
          </w:p>
        </w:tc>
        <w:tc>
          <w:tcPr>
            <w:shd w:fill="FFFFFF" w:val="solid"/>
            <w:tcMar>
              <w:top w:type="dxa" w:w="6"/>
              <w:left w:type="dxa" w:w="10"/>
              <w:bottom w:type="dxa" w:w="6"/>
              <w:right w:type="dxa" w:w="10"/>
            </w:tcMar>
            <w:vAlign w:val="center"/>
          </w:tcPr>
          <w:p>
            <w:pPr>
              <w:jc w:val="center"/>
            </w:pPr>
            <w:r>
              <w:rPr>
                <w:rFonts w:ascii="Calibri" w:cs="Calibri" w:eastAsia="Calibri" w:hAnsi="Calibri"/>
                <w:color w:val="27AE60"/>
                <w:sz w:val="18"/>
                <w:szCs w:val="18"/>
              </w:rPr>
              <w:t xml:space="preserve">●●●●●</w:t>
            </w:r>
            <w:r>
              <w:rPr>
                <w:rFonts w:ascii="Calibri" w:cs="Calibri" w:eastAsia="Calibri" w:hAnsi="Calibri"/>
                <w:color w:val="CCCCCC"/>
                <w:sz w:val="18"/>
                <w:szCs w:val="18"/>
              </w:rPr>
              <w:t xml:space="preserve"/>
            </w:r>
          </w:p>
        </w:tc>
        <w:tc>
          <w:tcPr>
            <w:shd w:fill="FFFFFF" w:val="solid"/>
            <w:tcMar>
              <w:top w:type="dxa" w:w="6"/>
              <w:left w:type="dxa" w:w="10"/>
              <w:bottom w:type="dxa" w:w="6"/>
              <w:right w:type="dxa" w:w="10"/>
            </w:tcMar>
            <w:vAlign w:val="center"/>
          </w:tcPr>
          <w:p>
            <w:pPr>
              <w:jc w:val="center"/>
            </w:pPr>
            <w:r>
              <w:rPr>
                <w:rFonts w:ascii="Calibri" w:cs="Calibri" w:eastAsia="Calibri" w:hAnsi="Calibri"/>
                <w:color w:val="27AE60"/>
                <w:sz w:val="18"/>
                <w:szCs w:val="18"/>
              </w:rPr>
              <w:t xml:space="preserve">●●●●</w:t>
            </w:r>
            <w:r>
              <w:rPr>
                <w:rFonts w:ascii="Calibri" w:cs="Calibri" w:eastAsia="Calibri" w:hAnsi="Calibri"/>
                <w:color w:val="CCCCCC"/>
                <w:sz w:val="18"/>
                <w:szCs w:val="18"/>
              </w:rPr>
              <w:t xml:space="preserve">○</w:t>
            </w:r>
          </w:p>
        </w:tc>
        <w:tc>
          <w:tcPr>
            <w:shd w:fill="FFFFFF" w:val="solid"/>
            <w:tcMar>
              <w:top w:type="dxa" w:w="6"/>
              <w:left w:type="dxa" w:w="10"/>
              <w:bottom w:type="dxa" w:w="6"/>
              <w:right w:type="dxa" w:w="10"/>
            </w:tcMar>
            <w:vAlign w:val="center"/>
          </w:tcPr>
          <w:p>
            <w:pPr>
              <w:jc w:val="center"/>
            </w:pPr>
            <w:r>
              <w:rPr>
                <w:rFonts w:ascii="Calibri" w:cs="Calibri" w:eastAsia="Calibri" w:hAnsi="Calibri"/>
                <w:color w:val="27AE60"/>
                <w:sz w:val="18"/>
                <w:szCs w:val="18"/>
              </w:rPr>
              <w:t xml:space="preserve">●●●●</w:t>
            </w:r>
            <w:r>
              <w:rPr>
                <w:rFonts w:ascii="Calibri" w:cs="Calibri" w:eastAsia="Calibri" w:hAnsi="Calibri"/>
                <w:color w:val="CCCCCC"/>
                <w:sz w:val="18"/>
                <w:szCs w:val="18"/>
              </w:rPr>
              <w:t xml:space="preserve">○</w:t>
            </w:r>
          </w:p>
        </w:tc>
      </w:tr>
      <w:tr>
        <w:tc>
          <w:tcPr>
            <w:shd w:fill="1F3A6E" w:color="1F3A6E" w:val="solid"/>
            <w:tcMar>
              <w:top w:type="dxa" w:w="6"/>
              <w:left w:type="dxa" w:w="10"/>
              <w:bottom w:type="dxa" w:w="6"/>
              <w:right w:type="dxa" w:w="10"/>
            </w:tcMar>
            <w:vAlign w:val="center"/>
          </w:tcPr>
          <w:p>
            <w:pPr>
              <w:jc w:val="left"/>
            </w:pPr>
            <w:r>
              <w:rPr>
                <w:rFonts w:ascii="Calibri" w:cs="Calibri" w:eastAsia="Calibri" w:hAnsi="Calibri"/>
                <w:b/>
                <w:bCs/>
                <w:color w:val="FFFFFF"/>
                <w:sz w:val="20"/>
                <w:szCs w:val="20"/>
              </w:rPr>
              <w:t xml:space="preserve">WEIGHTED TOTAL SCORE</w:t>
            </w:r>
          </w:p>
        </w:tc>
        <w:tc>
          <w:tcPr>
            <w:shd w:fill="1F3A6E" w:color="1F3A6E" w:val="solid"/>
            <w:tcMar>
              <w:top w:type="dxa" w:w="6"/>
              <w:left w:type="dxa" w:w="10"/>
              <w:bottom w:type="dxa" w:w="6"/>
              <w:right w:type="dxa" w:w="10"/>
            </w:tcMar>
            <w:vAlign w:val="center"/>
          </w:tcPr>
          <w:p>
            <w:pPr>
              <w:jc w:val="center"/>
            </w:pPr>
            <w:r>
              <w:rPr>
                <w:rFonts w:ascii="Calibri" w:cs="Calibri" w:eastAsia="Calibri" w:hAnsi="Calibri"/>
                <w:b/>
                <w:bCs/>
                <w:color w:val="FFFFFF"/>
                <w:sz w:val="20"/>
                <w:szCs w:val="20"/>
              </w:rPr>
              <w:t xml:space="preserve">100%</w:t>
            </w:r>
          </w:p>
        </w:tc>
        <w:tc>
          <w:tcPr>
            <w:shd w:fill="FDECEA" w:color="FDECEA" w:val="solid"/>
            <w:tcMar>
              <w:top w:type="dxa" w:w="6"/>
              <w:left w:type="dxa" w:w="10"/>
              <w:bottom w:type="dxa" w:w="6"/>
              <w:right w:type="dxa" w:w="10"/>
            </w:tcMar>
            <w:vAlign w:val="center"/>
          </w:tcPr>
          <w:p>
            <w:pPr>
              <w:jc w:val="center"/>
            </w:pPr>
            <w:r>
              <w:rPr>
                <w:rFonts w:ascii="Calibri" w:cs="Calibri" w:eastAsia="Calibri" w:hAnsi="Calibri"/>
                <w:b/>
                <w:bCs/>
                <w:color w:val="C0392B"/>
                <w:sz w:val="20"/>
                <w:szCs w:val="20"/>
              </w:rPr>
              <w:t xml:space="preserve">1.8 / 5.0</w:t>
            </w:r>
          </w:p>
        </w:tc>
        <w:tc>
          <w:tcPr>
            <w:shd w:fill="D4EDDA" w:color="D4EDDA" w:val="solid"/>
            <w:tcMar>
              <w:top w:type="dxa" w:w="6"/>
              <w:left w:type="dxa" w:w="10"/>
              <w:bottom w:type="dxa" w:w="6"/>
              <w:right w:type="dxa" w:w="10"/>
            </w:tcMar>
            <w:vAlign w:val="center"/>
          </w:tcPr>
          <w:p>
            <w:pPr>
              <w:jc w:val="center"/>
            </w:pPr>
            <w:r>
              <w:rPr>
                <w:rFonts w:ascii="Calibri" w:cs="Calibri" w:eastAsia="Calibri" w:hAnsi="Calibri"/>
                <w:b/>
                <w:bCs/>
                <w:color w:val="27AE60"/>
                <w:sz w:val="20"/>
                <w:szCs w:val="20"/>
              </w:rPr>
              <w:t xml:space="preserve">4.7 / 5.0</w:t>
            </w:r>
          </w:p>
        </w:tc>
        <w:tc>
          <w:tcPr>
            <w:shd w:fill="D4EDDA" w:color="D4EDDA" w:val="solid"/>
            <w:tcMar>
              <w:top w:type="dxa" w:w="6"/>
              <w:left w:type="dxa" w:w="10"/>
              <w:bottom w:type="dxa" w:w="6"/>
              <w:right w:type="dxa" w:w="10"/>
            </w:tcMar>
            <w:vAlign w:val="center"/>
          </w:tcPr>
          <w:p>
            <w:pPr>
              <w:jc w:val="center"/>
            </w:pPr>
            <w:r>
              <w:rPr>
                <w:rFonts w:ascii="Calibri" w:cs="Calibri" w:eastAsia="Calibri" w:hAnsi="Calibri"/>
                <w:b/>
                <w:bCs/>
                <w:color w:val="27AE60"/>
                <w:sz w:val="20"/>
                <w:szCs w:val="20"/>
              </w:rPr>
              <w:t xml:space="preserve">4.7 / 5.0</w:t>
            </w:r>
          </w:p>
        </w:tc>
        <w:tc>
          <w:tcPr>
            <w:shd w:fill="D4EDDA" w:color="D4EDDA" w:val="solid"/>
            <w:tcMar>
              <w:top w:type="dxa" w:w="6"/>
              <w:left w:type="dxa" w:w="10"/>
              <w:bottom w:type="dxa" w:w="6"/>
              <w:right w:type="dxa" w:w="10"/>
            </w:tcMar>
            <w:vAlign w:val="center"/>
          </w:tcPr>
          <w:p>
            <w:pPr>
              <w:jc w:val="center"/>
            </w:pPr>
            <w:r>
              <w:rPr>
                <w:rFonts w:ascii="Calibri" w:cs="Calibri" w:eastAsia="Calibri" w:hAnsi="Calibri"/>
                <w:b/>
                <w:bCs/>
                <w:color w:val="155724"/>
                <w:sz w:val="20"/>
                <w:szCs w:val="20"/>
              </w:rPr>
              <w:t xml:space="preserve">4.2 / 5.0</w:t>
            </w:r>
          </w:p>
        </w:tc>
      </w:tr>
    </w:tbl>
    <w:p>
      <w:pPr>
        <w:spacing w:before="0" w:after="12"/>
      </w:pPr>
    </w:p>
    <w:p>
      <w:pPr>
        <w:spacing w:before="4" w:after="12"/>
      </w:pPr>
      <w:r>
        <w:rPr>
          <w:rFonts w:ascii="Calibri" w:cs="Calibri" w:eastAsia="Calibri" w:hAnsi="Calibri"/>
          <w:i/>
          <w:iCs/>
          <w:color w:val="D0D5DD"/>
          <w:sz w:val="22"/>
          <w:szCs w:val="22"/>
        </w:rPr>
        <w:t xml:space="preserve">* Weighted score formula: Sum of (score × weight) for each criterion.</w:t>
      </w:r>
    </w:p>
    <w:p>
      <w:r>
        <w:br w:type="page"/>
      </w:r>
    </w:p>
    <w:p>
      <w:pPr>
        <w:pStyle w:val="Heading1"/>
        <w:shd w:fill="1F3A6E" w:color="1F3A6E" w:val="solid"/>
        <w:spacing w:before="36" w:after="16"/>
      </w:pPr>
      <w:r>
        <w:rPr>
          <w:rFonts w:ascii="Calibri" w:cs="Calibri" w:eastAsia="Calibri" w:hAnsi="Calibri"/>
          <w:b/>
          <w:bCs/>
          <w:color w:val="FFFFFF"/>
          <w:sz w:val="32"/>
          <w:szCs w:val="32"/>
        </w:rPr>
        <w:t xml:space="preserve">6.  Architecture Recommendations for EdMeCa</w:t>
      </w:r>
    </w:p>
    <w:p>
      <w:pPr>
        <w:spacing w:before="0" w:after="8"/>
      </w:pPr>
    </w:p>
    <w:p>
      <w:pPr>
        <w:pStyle w:val="Heading2"/>
        <w:pBdr>
          <w:bottom w:val="single" w:color="0D7377" w:sz="4" w:space="1"/>
        </w:pBdr>
        <w:spacing w:before="28" w:after="12"/>
      </w:pPr>
      <w:r>
        <w:rPr>
          <w:rFonts w:ascii="Calibri" w:cs="Calibri" w:eastAsia="Calibri" w:hAnsi="Calibri"/>
          <w:b/>
          <w:bCs/>
          <w:color w:val="1F3A6E"/>
          <w:sz w:val="26"/>
          <w:szCs w:val="26"/>
        </w:rPr>
        <w:t xml:space="preserve">6.1  Immediate Fix — Vercel API Routes (Zero Cost)</w:t>
      </w:r>
    </w:p>
    <w:p>
      <w:pPr>
        <w:spacing w:before="4" w:after="12"/>
      </w:pPr>
      <w:r>
        <w:rPr>
          <w:rFonts w:ascii="Calibri" w:cs="Calibri" w:eastAsia="Calibri" w:hAnsi="Calibri"/>
          <w:color w:val="1A1A2E"/>
          <w:sz w:val="22"/>
          <w:szCs w:val="22"/>
        </w:rPr>
        <w:t xml:space="preserve">The quickest path to resolving the Netlify timeout problem with no additional cost is to migrate the LLM analysis endpoint to Vercel API routes while keeping the remainder of the site on Netlify. This is a "best of both worlds" approach:</w:t>
      </w:r>
    </w:p>
    <w:p>
      <w:pPr>
        <w:pStyle w:val="ListParagraph"/>
        <w:numPr>
          <w:ilvl w:val="0"/>
          <w:numId w:val="1"/>
        </w:numPr>
        <w:spacing w:before="4" w:after="6"/>
        <w:ind w:left="431" w:hanging="215"/>
      </w:pPr>
      <w:r>
        <w:rPr>
          <w:rFonts w:ascii="Calibri" w:cs="Calibri" w:eastAsia="Calibri" w:hAnsi="Calibri"/>
          <w:color w:val="1A1A2E"/>
          <w:sz w:val="22"/>
          <w:szCs w:val="22"/>
        </w:rPr>
        <w:t xml:space="preserve">Keep Netlify for: static site hosting, contact form (Netlify Forms), CDN, CI/CD.</w:t>
      </w:r>
    </w:p>
    <w:p>
      <w:pPr>
        <w:pStyle w:val="ListParagraph"/>
        <w:numPr>
          <w:ilvl w:val="0"/>
          <w:numId w:val="1"/>
        </w:numPr>
        <w:spacing w:before="4" w:after="6"/>
        <w:ind w:left="431" w:hanging="215"/>
      </w:pPr>
      <w:r>
        <w:rPr>
          <w:rFonts w:ascii="Calibri" w:cs="Calibri" w:eastAsia="Calibri" w:hAnsi="Calibri"/>
          <w:color w:val="1A1A2E"/>
          <w:sz w:val="22"/>
          <w:szCs w:val="22"/>
        </w:rPr>
        <w:t xml:space="preserve">Move to Vercel for: LLM API routes only (financial analysis, AI chatbot with long contexts).</w:t>
      </w:r>
    </w:p>
    <w:p>
      <w:pPr>
        <w:pStyle w:val="ListParagraph"/>
        <w:numPr>
          <w:ilvl w:val="0"/>
          <w:numId w:val="1"/>
        </w:numPr>
        <w:spacing w:before="4" w:after="6"/>
        <w:ind w:left="431" w:hanging="215"/>
      </w:pPr>
      <w:r>
        <w:rPr>
          <w:rFonts w:ascii="Calibri" w:cs="Calibri" w:eastAsia="Calibri" w:hAnsi="Calibri"/>
          <w:color w:val="1A1A2E"/>
          <w:sz w:val="22"/>
          <w:szCs w:val="22"/>
        </w:rPr>
        <w:t xml:space="preserve">Vercel Hobby (free): 300s timeout per function, native AI SDK streaming, zero config.</w:t>
      </w:r>
    </w:p>
    <w:p>
      <w:pPr>
        <w:pStyle w:val="ListParagraph"/>
        <w:numPr>
          <w:ilvl w:val="0"/>
          <w:numId w:val="1"/>
        </w:numPr>
        <w:spacing w:before="4" w:after="6"/>
        <w:ind w:left="431" w:hanging="215"/>
      </w:pPr>
      <w:r>
        <w:rPr>
          <w:rFonts w:ascii="Calibri" w:cs="Calibri" w:eastAsia="Calibri" w:hAnsi="Calibri"/>
          <w:color w:val="1A1A2E"/>
          <w:sz w:val="22"/>
          <w:szCs w:val="22"/>
        </w:rPr>
        <w:t xml:space="preserve">Implementation: Create a separate Vercel project for the API layer. Update the EdMeCa frontend to call `https://your-api.vercel.app/api/analyse` instead of the Netlify function.</w:t>
      </w:r>
    </w:p>
    <w:p>
      <w:pPr>
        <w:spacing w:before="0" w:after="8"/>
      </w:pPr>
    </w:p>
    <w:p>
      <w:pPr>
        <w:pBdr>
          <w:left w:val="single" w:color="0D7377" w:sz="12" w:space="6"/>
        </w:pBdr>
        <w:shd w:fill="F2F4F7" w:color="F2F4F7" w:val="solid"/>
        <w:spacing w:before="12" w:after="12"/>
        <w:ind w:left="431" w:right="431"/>
      </w:pPr>
      <w:r>
        <w:rPr>
          <w:rFonts w:ascii="Calibri" w:cs="Calibri" w:eastAsia="Calibri" w:hAnsi="Calibri"/>
          <w:i/>
          <w:iCs/>
          <w:color w:val="1A1A2E"/>
          <w:sz w:val="22"/>
          <w:szCs w:val="22"/>
        </w:rPr>
        <w:t xml:space="preserve">Architecture: Netlify CDN → serves React SPA → calls Vercel API routes → Anthropic API → streams response back to client in real time.</w:t>
      </w:r>
    </w:p>
    <w:p>
      <w:pPr>
        <w:spacing w:before="0" w:after="8"/>
      </w:pPr>
    </w:p>
    <w:p>
      <w:pPr>
        <w:pStyle w:val="Heading2"/>
        <w:pBdr>
          <w:bottom w:val="single" w:color="0D7377" w:sz="4" w:space="1"/>
        </w:pBdr>
        <w:spacing w:before="28" w:after="12"/>
      </w:pPr>
      <w:r>
        <w:rPr>
          <w:rFonts w:ascii="Calibri" w:cs="Calibri" w:eastAsia="Calibri" w:hAnsi="Calibri"/>
          <w:b/>
          <w:bCs/>
          <w:color w:val="1F3A6E"/>
          <w:sz w:val="26"/>
          <w:szCs w:val="26"/>
        </w:rPr>
        <w:t xml:space="preserve">6.2  Medium-Term — Sevalla Application Pod (Best Value at $5/month)</w:t>
      </w:r>
    </w:p>
    <w:p>
      <w:pPr>
        <w:spacing w:before="4" w:after="12"/>
      </w:pPr>
      <w:r>
        <w:rPr>
          <w:rFonts w:ascii="Calibri" w:cs="Calibri" w:eastAsia="Calibri" w:hAnsi="Calibri"/>
          <w:color w:val="1A1A2E"/>
          <w:sz w:val="22"/>
          <w:szCs w:val="22"/>
        </w:rPr>
        <w:t xml:space="preserve">For a production-grade, always-on financial analysis service, deploy a dedicated Node.js application on Sevalla. This is the recommended architecture for EdMeCa's client-facing tool:</w:t>
      </w:r>
    </w:p>
    <w:p>
      <w:pPr>
        <w:pStyle w:val="ListParagraph"/>
        <w:numPr>
          <w:ilvl w:val="0"/>
          <w:numId w:val="1"/>
        </w:numPr>
        <w:spacing w:before="4" w:after="6"/>
        <w:ind w:left="431" w:hanging="215"/>
      </w:pPr>
      <w:r>
        <w:rPr>
          <w:rFonts w:ascii="Calibri" w:cs="Calibri" w:eastAsia="Calibri" w:hAnsi="Calibri"/>
          <w:color w:val="1A1A2E"/>
          <w:sz w:val="22"/>
          <w:szCs w:val="22"/>
        </w:rPr>
        <w:t xml:space="preserve">Deploy a Dockerised Node.js/Express application to Sevalla Application Hosting.</w:t>
      </w:r>
    </w:p>
    <w:p>
      <w:pPr>
        <w:pStyle w:val="ListParagraph"/>
        <w:numPr>
          <w:ilvl w:val="0"/>
          <w:numId w:val="1"/>
        </w:numPr>
        <w:spacing w:before="4" w:after="6"/>
        <w:ind w:left="431" w:hanging="215"/>
      </w:pPr>
      <w:r>
        <w:rPr>
          <w:rFonts w:ascii="Calibri" w:cs="Calibri" w:eastAsia="Calibri" w:hAnsi="Calibri"/>
          <w:color w:val="1A1A2E"/>
          <w:sz w:val="22"/>
          <w:szCs w:val="22"/>
        </w:rPr>
        <w:t xml:space="preserve">Set HTTP server timeout to 180 seconds — comfortably handles all LLM workloads.</w:t>
      </w:r>
    </w:p>
    <w:p>
      <w:pPr>
        <w:pStyle w:val="ListParagraph"/>
        <w:numPr>
          <w:ilvl w:val="0"/>
          <w:numId w:val="1"/>
        </w:numPr>
        <w:spacing w:before="4" w:after="6"/>
        <w:ind w:left="431" w:hanging="215"/>
      </w:pPr>
      <w:r>
        <w:rPr>
          <w:rFonts w:ascii="Calibri" w:cs="Calibri" w:eastAsia="Calibri" w:hAnsi="Calibri"/>
          <w:color w:val="1A1A2E"/>
          <w:sz w:val="22"/>
          <w:szCs w:val="22"/>
        </w:rPr>
        <w:t xml:space="preserve">Implement Server-Sent Events (SSE) for real-time token streaming to the client.</w:t>
      </w:r>
    </w:p>
    <w:p>
      <w:pPr>
        <w:pStyle w:val="ListParagraph"/>
        <w:numPr>
          <w:ilvl w:val="0"/>
          <w:numId w:val="1"/>
        </w:numPr>
        <w:spacing w:before="4" w:after="6"/>
        <w:ind w:left="431" w:hanging="215"/>
      </w:pPr>
      <w:r>
        <w:rPr>
          <w:rFonts w:ascii="Calibri" w:cs="Calibri" w:eastAsia="Calibri" w:hAnsi="Calibri"/>
          <w:color w:val="1A1A2E"/>
          <w:sz w:val="22"/>
          <w:szCs w:val="22"/>
        </w:rPr>
        <w:t xml:space="preserve">Store uploaded documents in Sevalla or Supabase Storage; pass as context to Anthropic.</w:t>
      </w:r>
    </w:p>
    <w:p>
      <w:pPr>
        <w:pStyle w:val="ListParagraph"/>
        <w:numPr>
          <w:ilvl w:val="0"/>
          <w:numId w:val="1"/>
        </w:numPr>
        <w:spacing w:before="4" w:after="6"/>
        <w:ind w:left="431" w:hanging="215"/>
      </w:pPr>
      <w:r>
        <w:rPr>
          <w:rFonts w:ascii="Calibri" w:cs="Calibri" w:eastAsia="Calibri" w:hAnsi="Calibri"/>
          <w:color w:val="1A1A2E"/>
          <w:sz w:val="22"/>
          <w:szCs w:val="22"/>
        </w:rPr>
        <w:t xml:space="preserve">Select Johannesburg data centre for minimum latency to South African clients.</w:t>
      </w:r>
    </w:p>
    <w:p>
      <w:pPr>
        <w:pStyle w:val="ListParagraph"/>
        <w:numPr>
          <w:ilvl w:val="0"/>
          <w:numId w:val="1"/>
        </w:numPr>
        <w:spacing w:before="4" w:after="6"/>
        <w:ind w:left="431" w:hanging="215"/>
      </w:pPr>
      <w:r>
        <w:rPr>
          <w:rFonts w:ascii="Calibri" w:cs="Calibri" w:eastAsia="Calibri" w:hAnsi="Calibri"/>
          <w:color w:val="1A1A2E"/>
          <w:sz w:val="22"/>
          <w:szCs w:val="22"/>
        </w:rPr>
        <w:t xml:space="preserve">Cost: $5/month for the application pod + $0 for Sevalla static site (or keep Netlify).</w:t>
      </w:r>
    </w:p>
    <w:p>
      <w:pPr>
        <w:spacing w:before="0" w:after="8"/>
      </w:pPr>
    </w:p>
    <w:p>
      <w:pPr>
        <w:pStyle w:val="Heading2"/>
        <w:pBdr>
          <w:bottom w:val="single" w:color="0D7377" w:sz="4" w:space="1"/>
        </w:pBdr>
        <w:spacing w:before="28" w:after="12"/>
      </w:pPr>
      <w:r>
        <w:rPr>
          <w:rFonts w:ascii="Calibri" w:cs="Calibri" w:eastAsia="Calibri" w:hAnsi="Calibri"/>
          <w:b/>
          <w:bCs/>
          <w:color w:val="1F3A6E"/>
          <w:sz w:val="26"/>
          <w:szCs w:val="26"/>
        </w:rPr>
        <w:t xml:space="preserve">6.3  Alternative — Netlify Background Functions + Polling (No Migration)</w:t>
      </w:r>
    </w:p>
    <w:p>
      <w:pPr>
        <w:spacing w:before="4" w:after="12"/>
      </w:pPr>
      <w:r>
        <w:rPr>
          <w:rFonts w:ascii="Calibri" w:cs="Calibri" w:eastAsia="Calibri" w:hAnsi="Calibri"/>
          <w:color w:val="1A1A2E"/>
          <w:sz w:val="22"/>
          <w:szCs w:val="22"/>
        </w:rPr>
        <w:t xml:space="preserve">If migration is not immediately feasible, the existing Netlify deployment can be adapted using background functions. This is more complex but requires no new platforms:</w:t>
      </w:r>
    </w:p>
    <w:p>
      <w:pPr>
        <w:pStyle w:val="ListParagraph"/>
        <w:numPr>
          <w:ilvl w:val="0"/>
          <w:numId w:val="1"/>
        </w:numPr>
        <w:spacing w:before="4" w:after="6"/>
        <w:ind w:left="431" w:hanging="215"/>
      </w:pPr>
      <w:r>
        <w:rPr>
          <w:rFonts w:ascii="Calibri" w:cs="Calibri" w:eastAsia="Calibri" w:hAnsi="Calibri"/>
          <w:color w:val="1A1A2E"/>
          <w:sz w:val="22"/>
          <w:szCs w:val="22"/>
        </w:rPr>
        <w:t xml:space="preserve">Step 1: Create `netlify/functions/analyse-background.ts` (note the `-background` suffix).</w:t>
      </w:r>
    </w:p>
    <w:p>
      <w:pPr>
        <w:pStyle w:val="ListParagraph"/>
        <w:numPr>
          <w:ilvl w:val="0"/>
          <w:numId w:val="1"/>
        </w:numPr>
        <w:spacing w:before="4" w:after="6"/>
        <w:ind w:left="431" w:hanging="215"/>
      </w:pPr>
      <w:r>
        <w:rPr>
          <w:rFonts w:ascii="Calibri" w:cs="Calibri" w:eastAsia="Calibri" w:hAnsi="Calibri"/>
          <w:color w:val="1A1A2E"/>
          <w:sz w:val="22"/>
          <w:szCs w:val="22"/>
        </w:rPr>
        <w:t xml:space="preserve">Step 2: Client POSTs document upload → receives 202 + job ID immediately.</w:t>
      </w:r>
    </w:p>
    <w:p>
      <w:pPr>
        <w:pStyle w:val="ListParagraph"/>
        <w:numPr>
          <w:ilvl w:val="0"/>
          <w:numId w:val="1"/>
        </w:numPr>
        <w:spacing w:before="4" w:after="6"/>
        <w:ind w:left="431" w:hanging="215"/>
      </w:pPr>
      <w:r>
        <w:rPr>
          <w:rFonts w:ascii="Calibri" w:cs="Calibri" w:eastAsia="Calibri" w:hAnsi="Calibri"/>
          <w:color w:val="1A1A2E"/>
          <w:sz w:val="22"/>
          <w:szCs w:val="22"/>
        </w:rPr>
        <w:t xml:space="preserve">Step 3: Background function processes LLM analysis (up to 15 minutes) → writes result to Supabase.</w:t>
      </w:r>
    </w:p>
    <w:p>
      <w:pPr>
        <w:pStyle w:val="ListParagraph"/>
        <w:numPr>
          <w:ilvl w:val="0"/>
          <w:numId w:val="1"/>
        </w:numPr>
        <w:spacing w:before="4" w:after="6"/>
        <w:ind w:left="431" w:hanging="215"/>
      </w:pPr>
      <w:r>
        <w:rPr>
          <w:rFonts w:ascii="Calibri" w:cs="Calibri" w:eastAsia="Calibri" w:hAnsi="Calibri"/>
          <w:color w:val="1A1A2E"/>
          <w:sz w:val="22"/>
          <w:szCs w:val="22"/>
        </w:rPr>
        <w:t xml:space="preserve">Step 4: Client polls `/.netlify/functions/get-result?jobId=xxx` every 3 seconds.</w:t>
      </w:r>
    </w:p>
    <w:p>
      <w:pPr>
        <w:pStyle w:val="ListParagraph"/>
        <w:numPr>
          <w:ilvl w:val="0"/>
          <w:numId w:val="1"/>
        </w:numPr>
        <w:spacing w:before="4" w:after="6"/>
        <w:ind w:left="431" w:hanging="215"/>
      </w:pPr>
      <w:r>
        <w:rPr>
          <w:rFonts w:ascii="Calibri" w:cs="Calibri" w:eastAsia="Calibri" w:hAnsi="Calibri"/>
          <w:color w:val="1A1A2E"/>
          <w:sz w:val="22"/>
          <w:szCs w:val="22"/>
        </w:rPr>
        <w:t xml:space="preserve">Step 5: When result is available, client renders the financial analysis.</w:t>
      </w:r>
    </w:p>
    <w:p>
      <w:pPr>
        <w:spacing w:before="0" w:after="4"/>
      </w:pPr>
    </w:p>
    <w:p>
      <w:pPr>
        <w:pBdr>
          <w:left w:val="single" w:color="E8A838" w:sz="12" w:space="6"/>
        </w:pBdr>
        <w:shd w:fill="FEF3CD" w:color="FEF3CD" w:val="solid"/>
        <w:spacing w:before="12" w:after="12"/>
        <w:ind w:left="431" w:right="431"/>
      </w:pPr>
      <w:r>
        <w:rPr>
          <w:rFonts w:ascii="Calibri" w:cs="Calibri" w:eastAsia="Calibri" w:hAnsi="Calibri"/>
          <w:b/>
          <w:bCs/>
          <w:color w:val="6B4A00"/>
          <w:sz w:val="22"/>
          <w:szCs w:val="22"/>
        </w:rPr>
        <w:t xml:space="preserve">⚠  This architecture adds ~2–3 weeks of development time, requires Supabase schema changes, and provides no streaming output. The user sees a loading spinner for 60–120 seconds rather than progressive analysis output. Not recommended as a permanent solution.</w:t>
      </w:r>
    </w:p>
    <w:p>
      <w:pPr>
        <w:spacing w:before="0" w:after="8"/>
      </w:pPr>
    </w:p>
    <w:p>
      <w:pPr>
        <w:pStyle w:val="Heading2"/>
        <w:pBdr>
          <w:bottom w:val="single" w:color="0D7377" w:sz="4" w:space="1"/>
        </w:pBdr>
        <w:spacing w:before="28" w:after="12"/>
      </w:pPr>
      <w:r>
        <w:rPr>
          <w:rFonts w:ascii="Calibri" w:cs="Calibri" w:eastAsia="Calibri" w:hAnsi="Calibri"/>
          <w:b/>
          <w:bCs/>
          <w:color w:val="1F3A6E"/>
          <w:sz w:val="26"/>
          <w:szCs w:val="26"/>
        </w:rPr>
        <w:t xml:space="preserve">6.4  Long-Term — Dedicated LLM Microservice (Render or Sevalla)</w:t>
      </w:r>
    </w:p>
    <w:p>
      <w:pPr>
        <w:spacing w:before="4" w:after="12"/>
      </w:pPr>
      <w:r>
        <w:rPr>
          <w:rFonts w:ascii="Calibri" w:cs="Calibri" w:eastAsia="Calibri" w:hAnsi="Calibri"/>
          <w:color w:val="1A1A2E"/>
          <w:sz w:val="22"/>
          <w:szCs w:val="22"/>
        </w:rPr>
        <w:t xml:space="preserve">As EdMeCa's LLM-powered features expand (financial analysis, BMC AI insights, document review, custom coaching), a dedicated microservice architecture provides the best scalability:</w:t>
      </w:r>
    </w:p>
    <w:p>
      <w:pPr>
        <w:pStyle w:val="ListParagraph"/>
        <w:numPr>
          <w:ilvl w:val="0"/>
          <w:numId w:val="1"/>
        </w:numPr>
        <w:spacing w:before="4" w:after="6"/>
        <w:ind w:left="431" w:hanging="215"/>
      </w:pPr>
      <w:r>
        <w:rPr>
          <w:rFonts w:ascii="Calibri" w:cs="Calibri" w:eastAsia="Calibri" w:hAnsi="Calibri"/>
          <w:color w:val="1A1A2E"/>
          <w:sz w:val="22"/>
          <w:szCs w:val="22"/>
        </w:rPr>
        <w:t xml:space="preserve">Deploy a persistent Node.js LLM service on Render Standard ($25/month) or Sevalla.</w:t>
      </w:r>
    </w:p>
    <w:p>
      <w:pPr>
        <w:pStyle w:val="ListParagraph"/>
        <w:numPr>
          <w:ilvl w:val="0"/>
          <w:numId w:val="1"/>
        </w:numPr>
        <w:spacing w:before="4" w:after="6"/>
        <w:ind w:left="431" w:hanging="215"/>
      </w:pPr>
      <w:r>
        <w:rPr>
          <w:rFonts w:ascii="Calibri" w:cs="Calibri" w:eastAsia="Calibri" w:hAnsi="Calibri"/>
          <w:color w:val="1A1A2E"/>
          <w:sz w:val="22"/>
          <w:szCs w:val="22"/>
        </w:rPr>
        <w:t xml:space="preserve">Implement a document processing queue (Redis/Supabase) for concurrent analysis jobs.</w:t>
      </w:r>
    </w:p>
    <w:p>
      <w:pPr>
        <w:pStyle w:val="ListParagraph"/>
        <w:numPr>
          <w:ilvl w:val="0"/>
          <w:numId w:val="1"/>
        </w:numPr>
        <w:spacing w:before="4" w:after="6"/>
        <w:ind w:left="431" w:hanging="215"/>
      </w:pPr>
      <w:r>
        <w:rPr>
          <w:rFonts w:ascii="Calibri" w:cs="Calibri" w:eastAsia="Calibri" w:hAnsi="Calibri"/>
          <w:color w:val="1A1A2E"/>
          <w:sz w:val="22"/>
          <w:szCs w:val="22"/>
        </w:rPr>
        <w:t xml:space="preserve">Use WebSockets for real-time bi-directional streaming — send progress updates, partial results, and completion status to the client.</w:t>
      </w:r>
    </w:p>
    <w:p>
      <w:pPr>
        <w:pStyle w:val="ListParagraph"/>
        <w:numPr>
          <w:ilvl w:val="0"/>
          <w:numId w:val="1"/>
        </w:numPr>
        <w:spacing w:before="4" w:after="6"/>
        <w:ind w:left="431" w:hanging="215"/>
      </w:pPr>
      <w:r>
        <w:rPr>
          <w:rFonts w:ascii="Calibri" w:cs="Calibri" w:eastAsia="Calibri" w:hAnsi="Calibri"/>
          <w:color w:val="1A1A2E"/>
          <w:sz w:val="22"/>
          <w:szCs w:val="22"/>
        </w:rPr>
        <w:t xml:space="preserve">Scale horizontally on Render Pro or Sevalla auto-scaling when user base grows.</w:t>
      </w:r>
    </w:p>
    <w:p>
      <w:pPr>
        <w:pStyle w:val="ListParagraph"/>
        <w:numPr>
          <w:ilvl w:val="0"/>
          <w:numId w:val="1"/>
        </w:numPr>
        <w:spacing w:before="4" w:after="6"/>
        <w:ind w:left="431" w:hanging="215"/>
      </w:pPr>
      <w:r>
        <w:rPr>
          <w:rFonts w:ascii="Calibri" w:cs="Calibri" w:eastAsia="Calibri" w:hAnsi="Calibri"/>
          <w:color w:val="1A1A2E"/>
          <w:sz w:val="22"/>
          <w:szCs w:val="22"/>
        </w:rPr>
        <w:t xml:space="preserve">Consider Anthropic Batches API for bulk document analysis at 50% cost reduction.</w:t>
      </w:r>
    </w:p>
    <w:p>
      <w:r>
        <w:br w:type="page"/>
      </w:r>
    </w:p>
    <w:p>
      <w:pPr>
        <w:pStyle w:val="Heading1"/>
        <w:shd w:fill="1F3A6E" w:color="1F3A6E" w:val="solid"/>
        <w:spacing w:before="36" w:after="16"/>
      </w:pPr>
      <w:r>
        <w:rPr>
          <w:rFonts w:ascii="Calibri" w:cs="Calibri" w:eastAsia="Calibri" w:hAnsi="Calibri"/>
          <w:b/>
          <w:bCs/>
          <w:color w:val="FFFFFF"/>
          <w:sz w:val="32"/>
          <w:szCs w:val="32"/>
        </w:rPr>
        <w:t xml:space="preserve">7.  Financial Analysis Tool — Recommended Technical Design</w:t>
      </w:r>
    </w:p>
    <w:p>
      <w:pPr>
        <w:spacing w:before="0" w:after="8"/>
      </w:pPr>
    </w:p>
    <w:p>
      <w:pPr>
        <w:pStyle w:val="Heading2"/>
        <w:pBdr>
          <w:bottom w:val="single" w:color="0D7377" w:sz="4" w:space="1"/>
        </w:pBdr>
        <w:spacing w:before="28" w:after="12"/>
      </w:pPr>
      <w:r>
        <w:rPr>
          <w:rFonts w:ascii="Calibri" w:cs="Calibri" w:eastAsia="Calibri" w:hAnsi="Calibri"/>
          <w:b/>
          <w:bCs/>
          <w:color w:val="1F3A6E"/>
          <w:sz w:val="26"/>
          <w:szCs w:val="26"/>
        </w:rPr>
        <w:t xml:space="preserve">7.1  System Overview</w:t>
      </w:r>
    </w:p>
    <w:p>
      <w:pPr>
        <w:spacing w:before="4" w:after="12"/>
      </w:pPr>
      <w:r>
        <w:rPr>
          <w:rFonts w:ascii="Calibri" w:cs="Calibri" w:eastAsia="Calibri" w:hAnsi="Calibri"/>
          <w:color w:val="1A1A2E"/>
          <w:sz w:val="22"/>
          <w:szCs w:val="22"/>
        </w:rPr>
        <w:t xml:space="preserve">Based on the description provided, the financial analysis tool performs the following workflow for each analysis request. This section maps each stage to its platform and timeout implications:</w:t>
      </w:r>
    </w:p>
    <w:p>
      <w:pPr>
        <w:spacing w:before="0" w:after="8"/>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5%"/>
            <w:shd w:fill="1F3A6E" w:color="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Stage</w:t>
            </w:r>
          </w:p>
        </w:tc>
        <w:tc>
          <w:tcPr>
            <w:tcW w:type="pct" w:w="40%"/>
            <w:shd w:fill="1F3A6E" w:color="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Description</w:t>
            </w:r>
          </w:p>
        </w:tc>
        <w:tc>
          <w:tcPr>
            <w:tcW w:type="pct" w:w="15%"/>
            <w:shd w:fill="1F3A6E" w:color="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Duration</w:t>
            </w:r>
          </w:p>
        </w:tc>
        <w:tc>
          <w:tcPr>
            <w:tcW w:type="pct" w:w="15%"/>
            <w:shd w:fill="1F3A6E" w:color="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Netlify</w:t>
            </w:r>
          </w:p>
        </w:tc>
        <w:tc>
          <w:tcPr>
            <w:tcW w:type="pct" w:w="25%"/>
            <w:shd w:fill="1F3A6E" w:color="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Vercel / Persistent</w:t>
            </w:r>
          </w:p>
        </w:tc>
      </w:tr>
      <w:tr>
        <w:tc>
          <w:tcPr>
            <w:shd w:fill="F2F4F7" w:color="F2F4F7" w:val="solid"/>
            <w:tcMar>
              <w:top w:type="dxa" w:w="6"/>
              <w:left w:type="dxa" w:w="10"/>
              <w:bottom w:type="dxa" w:w="6"/>
              <w:right w:type="dxa" w:w="10"/>
            </w:tcMar>
            <w:vAlign w:val="center"/>
          </w:tcPr>
          <w:p>
            <w:pPr>
              <w:jc w:val="center"/>
            </w:pPr>
            <w:r>
              <w:rPr>
                <w:rFonts w:ascii="Calibri" w:cs="Calibri" w:eastAsia="Calibri" w:hAnsi="Calibri"/>
                <w:b/>
                <w:bCs/>
                <w:color w:val="1A1A2E"/>
                <w:sz w:val="20"/>
                <w:szCs w:val="20"/>
              </w:rPr>
              <w:t xml:space="preserve">1</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File upload &amp; validation (bank statement PDF/CSV)</w:t>
            </w:r>
          </w:p>
        </w:tc>
        <w:tc>
          <w:tcPr>
            <w:shd w:fill="F2F4F7" w:color="F2F4F7" w:val="solid"/>
            <w:tcMar>
              <w:top w:type="dxa" w:w="6"/>
              <w:left w:type="dxa" w:w="10"/>
              <w:bottom w:type="dxa" w:w="6"/>
              <w:right w:type="dxa" w:w="10"/>
            </w:tcMar>
            <w:vAlign w:val="center"/>
          </w:tcPr>
          <w:p>
            <w:pPr>
              <w:jc w:val="center"/>
            </w:pPr>
            <w:r>
              <w:rPr>
                <w:rFonts w:ascii="Calibri" w:cs="Calibri" w:eastAsia="Calibri" w:hAnsi="Calibri"/>
                <w:b w:val="false"/>
                <w:bCs w:val="false"/>
                <w:color w:val="1F3A6E"/>
                <w:sz w:val="20"/>
                <w:szCs w:val="20"/>
              </w:rPr>
              <w:t xml:space="preserve">1–3s</w:t>
            </w:r>
          </w:p>
        </w:tc>
        <w:tc>
          <w:tcPr>
            <w:shd w:fill="F2F4F7" w:color="F2F4F7" w:val="solid"/>
            <w:tcMar>
              <w:top w:type="dxa" w:w="6"/>
              <w:left w:type="dxa" w:w="10"/>
              <w:bottom w:type="dxa" w:w="6"/>
              <w:right w:type="dxa" w:w="10"/>
            </w:tcMar>
            <w:vAlign w:val="center"/>
          </w:tcPr>
          <w:p>
            <w:pPr>
              <w:jc w:val="center"/>
            </w:pPr>
            <w:r>
              <w:rPr>
                <w:rFonts w:ascii="Calibri" w:cs="Calibri" w:eastAsia="Calibri" w:hAnsi="Calibri"/>
                <w:b w:val="false"/>
                <w:bCs w:val="false"/>
                <w:color w:val="27AE60"/>
                <w:sz w:val="20"/>
                <w:szCs w:val="20"/>
              </w:rPr>
              <w:t xml:space="preserve">✓ OK</w:t>
            </w:r>
          </w:p>
        </w:tc>
        <w:tc>
          <w:tcPr>
            <w:shd w:fill="F2F4F7" w:color="F2F4F7" w:val="solid"/>
            <w:tcMar>
              <w:top w:type="dxa" w:w="6"/>
              <w:left w:type="dxa" w:w="10"/>
              <w:bottom w:type="dxa" w:w="6"/>
              <w:right w:type="dxa" w:w="10"/>
            </w:tcMar>
            <w:vAlign w:val="center"/>
          </w:tcPr>
          <w:p>
            <w:pPr>
              <w:jc w:val="center"/>
            </w:pPr>
            <w:r>
              <w:rPr>
                <w:rFonts w:ascii="Calibri" w:cs="Calibri" w:eastAsia="Calibri" w:hAnsi="Calibri"/>
                <w:b w:val="false"/>
                <w:bCs w:val="false"/>
                <w:color w:val="27AE60"/>
                <w:sz w:val="20"/>
                <w:szCs w:val="20"/>
              </w:rPr>
              <w:t xml:space="preserve">✓ OK</w:t>
            </w:r>
          </w:p>
        </w:tc>
      </w:tr>
      <w:tr>
        <w:tc>
          <w:tcPr>
            <w:shd w:fill="FFFFFF" w:color="FFFFFF" w:val="solid"/>
            <w:tcMar>
              <w:top w:type="dxa" w:w="6"/>
              <w:left w:type="dxa" w:w="10"/>
              <w:bottom w:type="dxa" w:w="6"/>
              <w:right w:type="dxa" w:w="10"/>
            </w:tcMar>
            <w:vAlign w:val="center"/>
          </w:tcPr>
          <w:p>
            <w:pPr>
              <w:jc w:val="center"/>
            </w:pPr>
            <w:r>
              <w:rPr>
                <w:rFonts w:ascii="Calibri" w:cs="Calibri" w:eastAsia="Calibri" w:hAnsi="Calibri"/>
                <w:b/>
                <w:bCs/>
                <w:color w:val="1A1A2E"/>
                <w:sz w:val="20"/>
                <w:szCs w:val="20"/>
              </w:rPr>
              <w:t xml:space="preserve">2</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Document parsing &amp; data extraction</w:t>
            </w:r>
          </w:p>
        </w:tc>
        <w:tc>
          <w:tcPr>
            <w:shd w:fill="FFFFFF" w:color="FFFFFF" w:val="solid"/>
            <w:tcMar>
              <w:top w:type="dxa" w:w="6"/>
              <w:left w:type="dxa" w:w="10"/>
              <w:bottom w:type="dxa" w:w="6"/>
              <w:right w:type="dxa" w:w="10"/>
            </w:tcMar>
            <w:vAlign w:val="center"/>
          </w:tcPr>
          <w:p>
            <w:pPr>
              <w:jc w:val="center"/>
            </w:pPr>
            <w:r>
              <w:rPr>
                <w:rFonts w:ascii="Calibri" w:cs="Calibri" w:eastAsia="Calibri" w:hAnsi="Calibri"/>
                <w:b w:val="false"/>
                <w:bCs w:val="false"/>
                <w:color w:val="1F3A6E"/>
                <w:sz w:val="20"/>
                <w:szCs w:val="20"/>
              </w:rPr>
              <w:t xml:space="preserve">3–10s</w:t>
            </w:r>
          </w:p>
        </w:tc>
        <w:tc>
          <w:tcPr>
            <w:shd w:fill="FFFFFF" w:color="FFFFFF" w:val="solid"/>
            <w:tcMar>
              <w:top w:type="dxa" w:w="6"/>
              <w:left w:type="dxa" w:w="10"/>
              <w:bottom w:type="dxa" w:w="6"/>
              <w:right w:type="dxa" w:w="10"/>
            </w:tcMar>
            <w:vAlign w:val="center"/>
          </w:tcPr>
          <w:p>
            <w:pPr>
              <w:jc w:val="center"/>
            </w:pPr>
            <w:r>
              <w:rPr>
                <w:rFonts w:ascii="Calibri" w:cs="Calibri" w:eastAsia="Calibri" w:hAnsi="Calibri"/>
                <w:b w:val="false"/>
                <w:bCs w:val="false"/>
                <w:color w:val="B7791F"/>
                <w:sz w:val="20"/>
                <w:szCs w:val="20"/>
              </w:rPr>
              <w:t xml:space="preserve">⚠ Risk</w:t>
            </w:r>
          </w:p>
        </w:tc>
        <w:tc>
          <w:tcPr>
            <w:shd w:fill="FFFFFF" w:color="FFFFFF" w:val="solid"/>
            <w:tcMar>
              <w:top w:type="dxa" w:w="6"/>
              <w:left w:type="dxa" w:w="10"/>
              <w:bottom w:type="dxa" w:w="6"/>
              <w:right w:type="dxa" w:w="10"/>
            </w:tcMar>
            <w:vAlign w:val="center"/>
          </w:tcPr>
          <w:p>
            <w:pPr>
              <w:jc w:val="center"/>
            </w:pPr>
            <w:r>
              <w:rPr>
                <w:rFonts w:ascii="Calibri" w:cs="Calibri" w:eastAsia="Calibri" w:hAnsi="Calibri"/>
                <w:b w:val="false"/>
                <w:bCs w:val="false"/>
                <w:color w:val="27AE60"/>
                <w:sz w:val="20"/>
                <w:szCs w:val="20"/>
              </w:rPr>
              <w:t xml:space="preserve">✓ OK</w:t>
            </w:r>
          </w:p>
        </w:tc>
      </w:tr>
      <w:tr>
        <w:tc>
          <w:tcPr>
            <w:shd w:fill="F2F4F7" w:color="F2F4F7" w:val="solid"/>
            <w:tcMar>
              <w:top w:type="dxa" w:w="6"/>
              <w:left w:type="dxa" w:w="10"/>
              <w:bottom w:type="dxa" w:w="6"/>
              <w:right w:type="dxa" w:w="10"/>
            </w:tcMar>
            <w:vAlign w:val="center"/>
          </w:tcPr>
          <w:p>
            <w:pPr>
              <w:jc w:val="center"/>
            </w:pPr>
            <w:r>
              <w:rPr>
                <w:rFonts w:ascii="Calibri" w:cs="Calibri" w:eastAsia="Calibri" w:hAnsi="Calibri"/>
                <w:b/>
                <w:bCs/>
                <w:color w:val="1A1A2E"/>
                <w:sz w:val="20"/>
                <w:szCs w:val="20"/>
              </w:rPr>
              <w:t xml:space="preserve">3</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Claude Haiku: transaction categorisation</w:t>
            </w:r>
          </w:p>
        </w:tc>
        <w:tc>
          <w:tcPr>
            <w:shd w:fill="F2F4F7" w:color="F2F4F7" w:val="solid"/>
            <w:tcMar>
              <w:top w:type="dxa" w:w="6"/>
              <w:left w:type="dxa" w:w="10"/>
              <w:bottom w:type="dxa" w:w="6"/>
              <w:right w:type="dxa" w:w="10"/>
            </w:tcMar>
            <w:vAlign w:val="center"/>
          </w:tcPr>
          <w:p>
            <w:pPr>
              <w:jc w:val="center"/>
            </w:pPr>
            <w:r>
              <w:rPr>
                <w:rFonts w:ascii="Calibri" w:cs="Calibri" w:eastAsia="Calibri" w:hAnsi="Calibri"/>
                <w:b w:val="false"/>
                <w:bCs w:val="false"/>
                <w:color w:val="1F3A6E"/>
                <w:sz w:val="20"/>
                <w:szCs w:val="20"/>
              </w:rPr>
              <w:t xml:space="preserve">5–15s</w:t>
            </w:r>
          </w:p>
        </w:tc>
        <w:tc>
          <w:tcPr>
            <w:shd w:fill="F2F4F7" w:color="F2F4F7" w:val="solid"/>
            <w:tcMar>
              <w:top w:type="dxa" w:w="6"/>
              <w:left w:type="dxa" w:w="10"/>
              <w:bottom w:type="dxa" w:w="6"/>
              <w:right w:type="dxa" w:w="10"/>
            </w:tcMar>
            <w:vAlign w:val="center"/>
          </w:tcPr>
          <w:p>
            <w:pPr>
              <w:jc w:val="center"/>
            </w:pPr>
            <w:r>
              <w:rPr>
                <w:rFonts w:ascii="Calibri" w:cs="Calibri" w:eastAsia="Calibri" w:hAnsi="Calibri"/>
                <w:b w:val="false"/>
                <w:bCs w:val="false"/>
                <w:color w:val="C0392B"/>
                <w:sz w:val="20"/>
                <w:szCs w:val="20"/>
              </w:rPr>
              <w:t xml:space="preserve">✗ Drops</w:t>
            </w:r>
          </w:p>
        </w:tc>
        <w:tc>
          <w:tcPr>
            <w:shd w:fill="F2F4F7" w:color="F2F4F7" w:val="solid"/>
            <w:tcMar>
              <w:top w:type="dxa" w:w="6"/>
              <w:left w:type="dxa" w:w="10"/>
              <w:bottom w:type="dxa" w:w="6"/>
              <w:right w:type="dxa" w:w="10"/>
            </w:tcMar>
            <w:vAlign w:val="center"/>
          </w:tcPr>
          <w:p>
            <w:pPr>
              <w:jc w:val="center"/>
            </w:pPr>
            <w:r>
              <w:rPr>
                <w:rFonts w:ascii="Calibri" w:cs="Calibri" w:eastAsia="Calibri" w:hAnsi="Calibri"/>
                <w:b w:val="false"/>
                <w:bCs w:val="false"/>
                <w:color w:val="27AE60"/>
                <w:sz w:val="20"/>
                <w:szCs w:val="20"/>
              </w:rPr>
              <w:t xml:space="preserve">✓ OK</w:t>
            </w:r>
          </w:p>
        </w:tc>
      </w:tr>
      <w:tr>
        <w:tc>
          <w:tcPr>
            <w:shd w:fill="FFFFFF" w:color="FFFFFF" w:val="solid"/>
            <w:tcMar>
              <w:top w:type="dxa" w:w="6"/>
              <w:left w:type="dxa" w:w="10"/>
              <w:bottom w:type="dxa" w:w="6"/>
              <w:right w:type="dxa" w:w="10"/>
            </w:tcMar>
            <w:vAlign w:val="center"/>
          </w:tcPr>
          <w:p>
            <w:pPr>
              <w:jc w:val="center"/>
            </w:pPr>
            <w:r>
              <w:rPr>
                <w:rFonts w:ascii="Calibri" w:cs="Calibri" w:eastAsia="Calibri" w:hAnsi="Calibri"/>
                <w:b/>
                <w:bCs/>
                <w:color w:val="1A1A2E"/>
                <w:sz w:val="20"/>
                <w:szCs w:val="20"/>
              </w:rPr>
              <w:t xml:space="preserve">4</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Claude Sonnet: financial health deep analysis</w:t>
            </w:r>
          </w:p>
        </w:tc>
        <w:tc>
          <w:tcPr>
            <w:shd w:fill="FFFFFF" w:color="FFFFFF" w:val="solid"/>
            <w:tcMar>
              <w:top w:type="dxa" w:w="6"/>
              <w:left w:type="dxa" w:w="10"/>
              <w:bottom w:type="dxa" w:w="6"/>
              <w:right w:type="dxa" w:w="10"/>
            </w:tcMar>
            <w:vAlign w:val="center"/>
          </w:tcPr>
          <w:p>
            <w:pPr>
              <w:jc w:val="center"/>
            </w:pPr>
            <w:r>
              <w:rPr>
                <w:rFonts w:ascii="Calibri" w:cs="Calibri" w:eastAsia="Calibri" w:hAnsi="Calibri"/>
                <w:b w:val="false"/>
                <w:bCs w:val="false"/>
                <w:color w:val="1F3A6E"/>
                <w:sz w:val="20"/>
                <w:szCs w:val="20"/>
              </w:rPr>
              <w:t xml:space="preserve">30–90s</w:t>
            </w:r>
          </w:p>
        </w:tc>
        <w:tc>
          <w:tcPr>
            <w:shd w:fill="FFFFFF" w:color="FFFFFF" w:val="solid"/>
            <w:tcMar>
              <w:top w:type="dxa" w:w="6"/>
              <w:left w:type="dxa" w:w="10"/>
              <w:bottom w:type="dxa" w:w="6"/>
              <w:right w:type="dxa" w:w="10"/>
            </w:tcMar>
            <w:vAlign w:val="center"/>
          </w:tcPr>
          <w:p>
            <w:pPr>
              <w:jc w:val="center"/>
            </w:pPr>
            <w:r>
              <w:rPr>
                <w:rFonts w:ascii="Calibri" w:cs="Calibri" w:eastAsia="Calibri" w:hAnsi="Calibri"/>
                <w:b w:val="false"/>
                <w:bCs w:val="false"/>
                <w:color w:val="C0392B"/>
                <w:sz w:val="20"/>
                <w:szCs w:val="20"/>
              </w:rPr>
              <w:t xml:space="preserve">✗ Drops</w:t>
            </w:r>
          </w:p>
        </w:tc>
        <w:tc>
          <w:tcPr>
            <w:shd w:fill="FFFFFF" w:color="FFFFFF" w:val="solid"/>
            <w:tcMar>
              <w:top w:type="dxa" w:w="6"/>
              <w:left w:type="dxa" w:w="10"/>
              <w:bottom w:type="dxa" w:w="6"/>
              <w:right w:type="dxa" w:w="10"/>
            </w:tcMar>
            <w:vAlign w:val="center"/>
          </w:tcPr>
          <w:p>
            <w:pPr>
              <w:jc w:val="center"/>
            </w:pPr>
            <w:r>
              <w:rPr>
                <w:rFonts w:ascii="Calibri" w:cs="Calibri" w:eastAsia="Calibri" w:hAnsi="Calibri"/>
                <w:b w:val="false"/>
                <w:bCs w:val="false"/>
                <w:color w:val="27AE60"/>
                <w:sz w:val="20"/>
                <w:szCs w:val="20"/>
              </w:rPr>
              <w:t xml:space="preserve">✓ OK</w:t>
            </w:r>
          </w:p>
        </w:tc>
      </w:tr>
      <w:tr>
        <w:tc>
          <w:tcPr>
            <w:shd w:fill="F2F4F7" w:color="F2F4F7" w:val="solid"/>
            <w:tcMar>
              <w:top w:type="dxa" w:w="6"/>
              <w:left w:type="dxa" w:w="10"/>
              <w:bottom w:type="dxa" w:w="6"/>
              <w:right w:type="dxa" w:w="10"/>
            </w:tcMar>
            <w:vAlign w:val="center"/>
          </w:tcPr>
          <w:p>
            <w:pPr>
              <w:jc w:val="center"/>
            </w:pPr>
            <w:r>
              <w:rPr>
                <w:rFonts w:ascii="Calibri" w:cs="Calibri" w:eastAsia="Calibri" w:hAnsi="Calibri"/>
                <w:b/>
                <w:bCs/>
                <w:color w:val="1A1A2E"/>
                <w:sz w:val="20"/>
                <w:szCs w:val="20"/>
              </w:rPr>
              <w:t xml:space="preserve">5</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Risk assessment &amp; recommendation generation</w:t>
            </w:r>
          </w:p>
        </w:tc>
        <w:tc>
          <w:tcPr>
            <w:shd w:fill="F2F4F7" w:color="F2F4F7" w:val="solid"/>
            <w:tcMar>
              <w:top w:type="dxa" w:w="6"/>
              <w:left w:type="dxa" w:w="10"/>
              <w:bottom w:type="dxa" w:w="6"/>
              <w:right w:type="dxa" w:w="10"/>
            </w:tcMar>
            <w:vAlign w:val="center"/>
          </w:tcPr>
          <w:p>
            <w:pPr>
              <w:jc w:val="center"/>
            </w:pPr>
            <w:r>
              <w:rPr>
                <w:rFonts w:ascii="Calibri" w:cs="Calibri" w:eastAsia="Calibri" w:hAnsi="Calibri"/>
                <w:b w:val="false"/>
                <w:bCs w:val="false"/>
                <w:color w:val="1F3A6E"/>
                <w:sz w:val="20"/>
                <w:szCs w:val="20"/>
              </w:rPr>
              <w:t xml:space="preserve">10–30s</w:t>
            </w:r>
          </w:p>
        </w:tc>
        <w:tc>
          <w:tcPr>
            <w:shd w:fill="F2F4F7" w:color="F2F4F7" w:val="solid"/>
            <w:tcMar>
              <w:top w:type="dxa" w:w="6"/>
              <w:left w:type="dxa" w:w="10"/>
              <w:bottom w:type="dxa" w:w="6"/>
              <w:right w:type="dxa" w:w="10"/>
            </w:tcMar>
            <w:vAlign w:val="center"/>
          </w:tcPr>
          <w:p>
            <w:pPr>
              <w:jc w:val="center"/>
            </w:pPr>
            <w:r>
              <w:rPr>
                <w:rFonts w:ascii="Calibri" w:cs="Calibri" w:eastAsia="Calibri" w:hAnsi="Calibri"/>
                <w:b w:val="false"/>
                <w:bCs w:val="false"/>
                <w:color w:val="C0392B"/>
                <w:sz w:val="20"/>
                <w:szCs w:val="20"/>
              </w:rPr>
              <w:t xml:space="preserve">✗ Drops</w:t>
            </w:r>
          </w:p>
        </w:tc>
        <w:tc>
          <w:tcPr>
            <w:shd w:fill="F2F4F7" w:color="F2F4F7" w:val="solid"/>
            <w:tcMar>
              <w:top w:type="dxa" w:w="6"/>
              <w:left w:type="dxa" w:w="10"/>
              <w:bottom w:type="dxa" w:w="6"/>
              <w:right w:type="dxa" w:w="10"/>
            </w:tcMar>
            <w:vAlign w:val="center"/>
          </w:tcPr>
          <w:p>
            <w:pPr>
              <w:jc w:val="center"/>
            </w:pPr>
            <w:r>
              <w:rPr>
                <w:rFonts w:ascii="Calibri" w:cs="Calibri" w:eastAsia="Calibri" w:hAnsi="Calibri"/>
                <w:b w:val="false"/>
                <w:bCs w:val="false"/>
                <w:color w:val="27AE60"/>
                <w:sz w:val="20"/>
                <w:szCs w:val="20"/>
              </w:rPr>
              <w:t xml:space="preserve">✓ OK</w:t>
            </w:r>
          </w:p>
        </w:tc>
      </w:tr>
      <w:tr>
        <w:tc>
          <w:tcPr>
            <w:shd w:fill="FFFFFF" w:color="FFFFFF" w:val="solid"/>
            <w:tcMar>
              <w:top w:type="dxa" w:w="6"/>
              <w:left w:type="dxa" w:w="10"/>
              <w:bottom w:type="dxa" w:w="6"/>
              <w:right w:type="dxa" w:w="10"/>
            </w:tcMar>
            <w:vAlign w:val="center"/>
          </w:tcPr>
          <w:p>
            <w:pPr>
              <w:jc w:val="center"/>
            </w:pPr>
            <w:r>
              <w:rPr>
                <w:rFonts w:ascii="Calibri" w:cs="Calibri" w:eastAsia="Calibri" w:hAnsi="Calibri"/>
                <w:b/>
                <w:bCs/>
                <w:color w:val="1A1A2E"/>
                <w:sz w:val="20"/>
                <w:szCs w:val="20"/>
              </w:rPr>
              <w:t xml:space="preserve">6</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Report assembly &amp; response</w:t>
            </w:r>
          </w:p>
        </w:tc>
        <w:tc>
          <w:tcPr>
            <w:shd w:fill="FFFFFF" w:color="FFFFFF" w:val="solid"/>
            <w:tcMar>
              <w:top w:type="dxa" w:w="6"/>
              <w:left w:type="dxa" w:w="10"/>
              <w:bottom w:type="dxa" w:w="6"/>
              <w:right w:type="dxa" w:w="10"/>
            </w:tcMar>
            <w:vAlign w:val="center"/>
          </w:tcPr>
          <w:p>
            <w:pPr>
              <w:jc w:val="center"/>
            </w:pPr>
            <w:r>
              <w:rPr>
                <w:rFonts w:ascii="Calibri" w:cs="Calibri" w:eastAsia="Calibri" w:hAnsi="Calibri"/>
                <w:b w:val="false"/>
                <w:bCs w:val="false"/>
                <w:color w:val="1F3A6E"/>
                <w:sz w:val="20"/>
                <w:szCs w:val="20"/>
              </w:rPr>
              <w:t xml:space="preserve">2–5s</w:t>
            </w:r>
          </w:p>
        </w:tc>
        <w:tc>
          <w:tcPr>
            <w:shd w:fill="FFFFFF" w:color="FFFFFF" w:val="solid"/>
            <w:tcMar>
              <w:top w:type="dxa" w:w="6"/>
              <w:left w:type="dxa" w:w="10"/>
              <w:bottom w:type="dxa" w:w="6"/>
              <w:right w:type="dxa" w:w="10"/>
            </w:tcMar>
            <w:vAlign w:val="center"/>
          </w:tcPr>
          <w:p>
            <w:pPr>
              <w:jc w:val="center"/>
            </w:pPr>
            <w:r>
              <w:rPr>
                <w:rFonts w:ascii="Calibri" w:cs="Calibri" w:eastAsia="Calibri" w:hAnsi="Calibri"/>
                <w:b w:val="false"/>
                <w:bCs w:val="false"/>
                <w:color w:val="C0392B"/>
                <w:sz w:val="20"/>
                <w:szCs w:val="20"/>
              </w:rPr>
              <w:t xml:space="preserve">✗ Never reached</w:t>
            </w:r>
          </w:p>
        </w:tc>
        <w:tc>
          <w:tcPr>
            <w:shd w:fill="FFFFFF" w:color="FFFFFF" w:val="solid"/>
            <w:tcMar>
              <w:top w:type="dxa" w:w="6"/>
              <w:left w:type="dxa" w:w="10"/>
              <w:bottom w:type="dxa" w:w="6"/>
              <w:right w:type="dxa" w:w="10"/>
            </w:tcMar>
            <w:vAlign w:val="center"/>
          </w:tcPr>
          <w:p>
            <w:pPr>
              <w:jc w:val="center"/>
            </w:pPr>
            <w:r>
              <w:rPr>
                <w:rFonts w:ascii="Calibri" w:cs="Calibri" w:eastAsia="Calibri" w:hAnsi="Calibri"/>
                <w:b w:val="false"/>
                <w:bCs w:val="false"/>
                <w:color w:val="27AE60"/>
                <w:sz w:val="20"/>
                <w:szCs w:val="20"/>
              </w:rPr>
              <w:t xml:space="preserve">✓ OK</w:t>
            </w:r>
          </w:p>
        </w:tc>
      </w:tr>
      <w:tr>
        <w:tc>
          <w:tcPr>
            <w:shd w:fill="F2F4F7" w:color="F2F4F7" w:val="solid"/>
            <w:tcMar>
              <w:top w:type="dxa" w:w="6"/>
              <w:left w:type="dxa" w:w="10"/>
              <w:bottom w:type="dxa" w:w="6"/>
              <w:right w:type="dxa" w:w="10"/>
            </w:tcMar>
            <w:vAlign w:val="center"/>
          </w:tcPr>
          <w:p>
            <w:pPr>
              <w:jc w:val="center"/>
            </w:pPr>
            <w:r>
              <w:rPr>
                <w:rFonts w:ascii="Calibri" w:cs="Calibri" w:eastAsia="Calibri" w:hAnsi="Calibri"/>
                <w:b/>
                <w:bCs/>
                <w:color w:val="1A1A2E"/>
                <w:sz w:val="20"/>
                <w:szCs w:val="20"/>
              </w:rPr>
              <w:t xml:space="preserve">TOTAL</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Full analysis pipeline</w:t>
            </w:r>
          </w:p>
        </w:tc>
        <w:tc>
          <w:tcPr>
            <w:shd w:fill="F2F4F7" w:color="F2F4F7" w:val="solid"/>
            <w:tcMar>
              <w:top w:type="dxa" w:w="6"/>
              <w:left w:type="dxa" w:w="10"/>
              <w:bottom w:type="dxa" w:w="6"/>
              <w:right w:type="dxa" w:w="10"/>
            </w:tcMar>
            <w:vAlign w:val="center"/>
          </w:tcPr>
          <w:p>
            <w:pPr>
              <w:jc w:val="center"/>
            </w:pPr>
            <w:r>
              <w:rPr>
                <w:rFonts w:ascii="Calibri" w:cs="Calibri" w:eastAsia="Calibri" w:hAnsi="Calibri"/>
                <w:b w:val="false"/>
                <w:bCs w:val="false"/>
                <w:color w:val="1F3A6E"/>
                <w:sz w:val="20"/>
                <w:szCs w:val="20"/>
              </w:rPr>
              <w:t xml:space="preserve">51–153s</w:t>
            </w:r>
          </w:p>
        </w:tc>
        <w:tc>
          <w:tcPr>
            <w:shd w:fill="F2F4F7" w:color="F2F4F7" w:val="solid"/>
            <w:tcMar>
              <w:top w:type="dxa" w:w="6"/>
              <w:left w:type="dxa" w:w="10"/>
              <w:bottom w:type="dxa" w:w="6"/>
              <w:right w:type="dxa" w:w="10"/>
            </w:tcMar>
            <w:vAlign w:val="center"/>
          </w:tcPr>
          <w:p>
            <w:pPr>
              <w:jc w:val="center"/>
            </w:pPr>
            <w:r>
              <w:rPr>
                <w:rFonts w:ascii="Calibri" w:cs="Calibri" w:eastAsia="Calibri" w:hAnsi="Calibri"/>
                <w:b w:val="false"/>
                <w:bCs w:val="false"/>
                <w:color w:val="C0392B"/>
                <w:sz w:val="20"/>
                <w:szCs w:val="20"/>
              </w:rPr>
              <w:t xml:space="preserve">✗ FAILS at stage 2–3</w:t>
            </w:r>
          </w:p>
        </w:tc>
        <w:tc>
          <w:tcPr>
            <w:shd w:fill="F2F4F7" w:color="F2F4F7" w:val="solid"/>
            <w:tcMar>
              <w:top w:type="dxa" w:w="6"/>
              <w:left w:type="dxa" w:w="10"/>
              <w:bottom w:type="dxa" w:w="6"/>
              <w:right w:type="dxa" w:w="10"/>
            </w:tcMar>
            <w:vAlign w:val="center"/>
          </w:tcPr>
          <w:p>
            <w:pPr>
              <w:jc w:val="center"/>
            </w:pPr>
            <w:r>
              <w:rPr>
                <w:rFonts w:ascii="Calibri" w:cs="Calibri" w:eastAsia="Calibri" w:hAnsi="Calibri"/>
                <w:b w:val="false"/>
                <w:bCs w:val="false"/>
                <w:color w:val="27AE60"/>
                <w:sz w:val="20"/>
                <w:szCs w:val="20"/>
              </w:rPr>
              <w:t xml:space="preserve">✓ Completes fully</w:t>
            </w:r>
          </w:p>
        </w:tc>
      </w:tr>
    </w:tbl>
    <w:p>
      <w:pPr>
        <w:spacing w:before="0" w:after="12"/>
      </w:pPr>
    </w:p>
    <w:p>
      <w:pPr>
        <w:pStyle w:val="Heading2"/>
        <w:pBdr>
          <w:bottom w:val="single" w:color="0D7377" w:sz="4" w:space="1"/>
        </w:pBdr>
        <w:spacing w:before="28" w:after="12"/>
      </w:pPr>
      <w:r>
        <w:rPr>
          <w:rFonts w:ascii="Calibri" w:cs="Calibri" w:eastAsia="Calibri" w:hAnsi="Calibri"/>
          <w:b/>
          <w:bCs/>
          <w:color w:val="1F3A6E"/>
          <w:sz w:val="26"/>
          <w:szCs w:val="26"/>
        </w:rPr>
        <w:t xml:space="preserve">7.2  Recommended Implementation Stack</w:t>
      </w:r>
    </w:p>
    <w:p>
      <w:pPr>
        <w:spacing w:before="4" w:after="12"/>
      </w:pPr>
      <w:r>
        <w:rPr>
          <w:rFonts w:ascii="Calibri" w:cs="Calibri" w:eastAsia="Calibri" w:hAnsi="Calibri"/>
          <w:color w:val="1A1A2E"/>
          <w:sz w:val="22"/>
          <w:szCs w:val="22"/>
        </w:rPr>
        <w:t xml:space="preserve">For the financial analysis tool specifically, we recommend the following stack:</w:t>
      </w:r>
    </w:p>
    <w:p>
      <w:pPr>
        <w:spacing w:before="0" w:after="4"/>
      </w:pPr>
    </w:p>
    <w:p>
      <w:pPr>
        <w:pStyle w:val="ListParagraph"/>
        <w:numPr>
          <w:ilvl w:val="0"/>
          <w:numId w:val="1"/>
        </w:numPr>
        <w:spacing w:before="4" w:after="6"/>
        <w:ind w:left="431" w:hanging="215"/>
      </w:pPr>
      <w:r>
        <w:rPr>
          <w:rFonts w:ascii="Calibri" w:cs="Calibri" w:eastAsia="Calibri" w:hAnsi="Calibri"/>
          <w:color w:val="1A1A2E"/>
          <w:sz w:val="22"/>
          <w:szCs w:val="22"/>
        </w:rPr>
        <w:t xml:space="preserve">Frontend (React/Vite): Continue on Netlify — no changes. Drag-and-drop file upload component.</w:t>
      </w:r>
    </w:p>
    <w:p>
      <w:pPr>
        <w:pStyle w:val="ListParagraph"/>
        <w:numPr>
          <w:ilvl w:val="0"/>
          <w:numId w:val="1"/>
        </w:numPr>
        <w:spacing w:before="4" w:after="6"/>
        <w:ind w:left="431" w:hanging="215"/>
      </w:pPr>
      <w:r>
        <w:rPr>
          <w:rFonts w:ascii="Calibri" w:cs="Calibri" w:eastAsia="Calibri" w:hAnsi="Calibri"/>
          <w:color w:val="1A1A2E"/>
          <w:sz w:val="22"/>
          <w:szCs w:val="22"/>
        </w:rPr>
        <w:t xml:space="preserve">Analysis API: Vercel (free) or Sevalla ($5/month) — Node.js/TypeScript endpoint.</w:t>
      </w:r>
    </w:p>
    <w:p>
      <w:pPr>
        <w:pStyle w:val="ListParagraph"/>
        <w:numPr>
          <w:ilvl w:val="0"/>
          <w:numId w:val="1"/>
        </w:numPr>
        <w:spacing w:before="4" w:after="6"/>
        <w:ind w:left="431" w:hanging="215"/>
      </w:pPr>
      <w:r>
        <w:rPr>
          <w:rFonts w:ascii="Calibri" w:cs="Calibri" w:eastAsia="Calibri" w:hAnsi="Calibri"/>
          <w:color w:val="1A1A2E"/>
          <w:sz w:val="22"/>
          <w:szCs w:val="22"/>
        </w:rPr>
        <w:t xml:space="preserve">LLM: Claude Haiku (fast pre-processing) → Claude Sonnet (deep analysis) in sequence.</w:t>
      </w:r>
    </w:p>
    <w:p>
      <w:pPr>
        <w:pStyle w:val="ListParagraph"/>
        <w:numPr>
          <w:ilvl w:val="0"/>
          <w:numId w:val="1"/>
        </w:numPr>
        <w:spacing w:before="4" w:after="6"/>
        <w:ind w:left="431" w:hanging="215"/>
      </w:pPr>
      <w:r>
        <w:rPr>
          <w:rFonts w:ascii="Calibri" w:cs="Calibri" w:eastAsia="Calibri" w:hAnsi="Calibri"/>
          <w:color w:val="1A1A2E"/>
          <w:sz w:val="22"/>
          <w:szCs w:val="22"/>
        </w:rPr>
        <w:t xml:space="preserve">Streaming: Use Anthropic SDK streaming (`stream.on("text", ...)`) with SSE to client.</w:t>
      </w:r>
    </w:p>
    <w:p>
      <w:pPr>
        <w:pStyle w:val="ListParagraph"/>
        <w:numPr>
          <w:ilvl w:val="0"/>
          <w:numId w:val="1"/>
        </w:numPr>
        <w:spacing w:before="4" w:after="6"/>
        <w:ind w:left="431" w:hanging="215"/>
      </w:pPr>
      <w:r>
        <w:rPr>
          <w:rFonts w:ascii="Calibri" w:cs="Calibri" w:eastAsia="Calibri" w:hAnsi="Calibri"/>
          <w:color w:val="1A1A2E"/>
          <w:sz w:val="22"/>
          <w:szCs w:val="22"/>
        </w:rPr>
        <w:t xml:space="preserve">Document storage: Supabase Storage — upload PDF → get signed URL → pass as context to Claude.</w:t>
      </w:r>
    </w:p>
    <w:p>
      <w:pPr>
        <w:pStyle w:val="ListParagraph"/>
        <w:numPr>
          <w:ilvl w:val="0"/>
          <w:numId w:val="1"/>
        </w:numPr>
        <w:spacing w:before="4" w:after="6"/>
        <w:ind w:left="431" w:hanging="215"/>
      </w:pPr>
      <w:r>
        <w:rPr>
          <w:rFonts w:ascii="Calibri" w:cs="Calibri" w:eastAsia="Calibri" w:hAnsi="Calibri"/>
          <w:color w:val="1A1A2E"/>
          <w:sz w:val="22"/>
          <w:szCs w:val="22"/>
        </w:rPr>
        <w:t xml:space="preserve">Results persistence: Supabase table `financial_analyses` — store completed reports for retrieval.</w:t>
      </w:r>
    </w:p>
    <w:p>
      <w:pPr>
        <w:pStyle w:val="ListParagraph"/>
        <w:numPr>
          <w:ilvl w:val="0"/>
          <w:numId w:val="1"/>
        </w:numPr>
        <w:spacing w:before="4" w:after="6"/>
        <w:ind w:left="431" w:hanging="215"/>
      </w:pPr>
      <w:r>
        <w:rPr>
          <w:rFonts w:ascii="Calibri" w:cs="Calibri" w:eastAsia="Calibri" w:hAnsi="Calibri"/>
          <w:color w:val="1A1A2E"/>
          <w:sz w:val="22"/>
          <w:szCs w:val="22"/>
        </w:rPr>
        <w:t xml:space="preserve">Auth: Supabase JWT — only authenticated EdMeCa portal users can submit analyses.</w:t>
      </w:r>
    </w:p>
    <w:p>
      <w:r>
        <w:br w:type="page"/>
      </w:r>
    </w:p>
    <w:p>
      <w:pPr>
        <w:pStyle w:val="Heading1"/>
        <w:shd w:fill="1F3A6E" w:color="1F3A6E" w:val="solid"/>
        <w:spacing w:before="36" w:after="16"/>
      </w:pPr>
      <w:r>
        <w:rPr>
          <w:rFonts w:ascii="Calibri" w:cs="Calibri" w:eastAsia="Calibri" w:hAnsi="Calibri"/>
          <w:b/>
          <w:bCs/>
          <w:color w:val="FFFFFF"/>
          <w:sz w:val="32"/>
          <w:szCs w:val="32"/>
        </w:rPr>
        <w:t xml:space="preserve">8.  Conclusion and Final Recommendations</w:t>
      </w:r>
    </w:p>
    <w:p>
      <w:pPr>
        <w:spacing w:before="0" w:after="8"/>
      </w:pPr>
    </w:p>
    <w:p>
      <w:pPr>
        <w:spacing w:before="4" w:after="12"/>
      </w:pPr>
      <w:r>
        <w:rPr>
          <w:rFonts w:ascii="Calibri" w:cs="Calibri" w:eastAsia="Calibri" w:hAnsi="Calibri"/>
          <w:color w:val="1A1A2E"/>
          <w:sz w:val="22"/>
          <w:szCs w:val="22"/>
        </w:rPr>
        <w:t xml:space="preserve">The timeout limitation of serverless function platforms is a critical architectural constraint for any application integrating LLM inference. The table below summarises the final recommendations for EdMeCa's platform strategy:</w:t>
      </w:r>
    </w:p>
    <w:p>
      <w:pPr>
        <w:spacing w:before="0" w:after="8"/>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15%"/>
            <w:shd w:fill="1F3A6E" w:color="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Platform</w:t>
            </w:r>
          </w:p>
        </w:tc>
        <w:tc>
          <w:tcPr>
            <w:tcW w:type="pct" w:w="20%"/>
            <w:shd w:fill="1F3A6E" w:color="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Current Use</w:t>
            </w:r>
          </w:p>
        </w:tc>
        <w:tc>
          <w:tcPr>
            <w:tcW w:type="pct" w:w="20%"/>
            <w:shd w:fill="1F3A6E" w:color="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LLM Use</w:t>
            </w:r>
          </w:p>
        </w:tc>
        <w:tc>
          <w:tcPr>
            <w:tcW w:type="pct" w:w="25%"/>
            <w:shd w:fill="1F3A6E" w:color="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Recommendation</w:t>
            </w:r>
          </w:p>
        </w:tc>
        <w:tc>
          <w:tcPr>
            <w:tcW w:type="pct" w:w="20%"/>
            <w:shd w:fill="1F3A6E" w:color="1F3A6E" w:val="solid"/>
            <w:tcMar>
              <w:top w:type="dxa" w:w="8"/>
              <w:left w:type="dxa" w:w="12"/>
              <w:bottom w:type="dxa" w:w="8"/>
              <w:right w:type="dxa" w:w="12"/>
            </w:tcMar>
            <w:vAlign w:val="center"/>
          </w:tcPr>
          <w:p>
            <w:pPr>
              <w:jc w:val="center"/>
            </w:pPr>
            <w:r>
              <w:rPr>
                <w:rFonts w:ascii="Calibri" w:cs="Calibri" w:eastAsia="Calibri" w:hAnsi="Calibri"/>
                <w:b/>
                <w:bCs/>
                <w:color w:val="FFFFFF"/>
                <w:sz w:val="20"/>
                <w:szCs w:val="20"/>
              </w:rPr>
              <w:t xml:space="preserve">Action</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Netlify</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  Marketing site, contact forms, CI/CD</w:t>
            </w:r>
          </w:p>
        </w:tc>
        <w:tc>
          <w:tcPr>
            <w:shd w:fill="FDECEA" w:color="FDECEA" w:val="solid"/>
            <w:tcMar>
              <w:top w:type="dxa" w:w="6"/>
              <w:left w:type="dxa" w:w="10"/>
              <w:bottom w:type="dxa" w:w="6"/>
              <w:right w:type="dxa" w:w="10"/>
            </w:tcMar>
            <w:vAlign w:val="center"/>
          </w:tcPr>
          <w:p>
            <w:pPr>
              <w:jc w:val="left"/>
            </w:pPr>
            <w:r>
              <w:rPr>
                <w:rFonts w:ascii="Calibri" w:cs="Calibri" w:eastAsia="Calibri" w:hAnsi="Calibri"/>
                <w:b w:val="false"/>
                <w:bCs w:val="false"/>
                <w:color w:val="C0392B"/>
                <w:sz w:val="20"/>
                <w:szCs w:val="20"/>
              </w:rPr>
              <w:t xml:space="preserve">✗  Not suitable (10s timeout)</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Keep for static/forms; remove LLM functions</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F3A6E"/>
                <w:sz w:val="20"/>
                <w:szCs w:val="20"/>
              </w:rPr>
              <w:t xml:space="preserve">No change for non-LLM</w:t>
            </w:r>
          </w:p>
        </w:tc>
      </w:tr>
      <w:tr>
        <w:tc>
          <w:tcPr>
            <w:shd w:fill="FFFFFF" w:color="FFFFFF"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Vercel</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Not currently used</w:t>
            </w:r>
          </w:p>
        </w:tc>
        <w:tc>
          <w:tcPr>
            <w:shd w:fill="D4EDDA" w:color="D4EDDA" w:val="solid"/>
            <w:tcMar>
              <w:top w:type="dxa" w:w="6"/>
              <w:left w:type="dxa" w:w="10"/>
              <w:bottom w:type="dxa" w:w="6"/>
              <w:right w:type="dxa" w:w="10"/>
            </w:tcMar>
            <w:vAlign w:val="center"/>
          </w:tcPr>
          <w:p>
            <w:pPr>
              <w:jc w:val="left"/>
            </w:pPr>
            <w:r>
              <w:rPr>
                <w:rFonts w:ascii="Calibri" w:cs="Calibri" w:eastAsia="Calibri" w:hAnsi="Calibri"/>
                <w:b w:val="false"/>
                <w:bCs w:val="false"/>
                <w:color w:val="27AE60"/>
                <w:sz w:val="20"/>
                <w:szCs w:val="20"/>
              </w:rPr>
              <w:t xml:space="preserve">✓✓  Excellent (300s free)</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Add as LLM API layer — free Hobby plan</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0D7377"/>
                <w:sz w:val="20"/>
                <w:szCs w:val="20"/>
              </w:rPr>
              <w:t xml:space="preserve">Deploy API routes for financial analysis</w:t>
            </w:r>
          </w:p>
        </w:tc>
      </w:tr>
      <w:tr>
        <w:tc>
          <w:tcPr>
            <w:shd w:fill="F2F4F7" w:color="F2F4F7"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Sevalla</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Not currently used</w:t>
            </w:r>
          </w:p>
        </w:tc>
        <w:tc>
          <w:tcPr>
            <w:shd w:fill="D4EDDA" w:color="D4EDDA" w:val="solid"/>
            <w:tcMar>
              <w:top w:type="dxa" w:w="6"/>
              <w:left w:type="dxa" w:w="10"/>
              <w:bottom w:type="dxa" w:w="6"/>
              <w:right w:type="dxa" w:w="10"/>
            </w:tcMar>
            <w:vAlign w:val="center"/>
          </w:tcPr>
          <w:p>
            <w:pPr>
              <w:jc w:val="left"/>
            </w:pPr>
            <w:r>
              <w:rPr>
                <w:rFonts w:ascii="Calibri" w:cs="Calibri" w:eastAsia="Calibri" w:hAnsi="Calibri"/>
                <w:b w:val="false"/>
                <w:bCs w:val="false"/>
                <w:color w:val="27AE60"/>
                <w:sz w:val="20"/>
                <w:szCs w:val="20"/>
              </w:rPr>
              <w:t xml:space="preserve">✓✓  Excellent (no timeout)</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Preferred for dedicated LLM service</w:t>
            </w:r>
          </w:p>
        </w:tc>
        <w:tc>
          <w:tcPr>
            <w:shd w:fill="F2F4F7" w:color="F2F4F7" w:val="solid"/>
            <w:tcMar>
              <w:top w:type="dxa" w:w="6"/>
              <w:left w:type="dxa" w:w="10"/>
              <w:bottom w:type="dxa" w:w="6"/>
              <w:right w:type="dxa" w:w="10"/>
            </w:tcMar>
            <w:vAlign w:val="center"/>
          </w:tcPr>
          <w:p>
            <w:pPr>
              <w:jc w:val="left"/>
            </w:pPr>
            <w:r>
              <w:rPr>
                <w:rFonts w:ascii="Calibri" w:cs="Calibri" w:eastAsia="Calibri" w:hAnsi="Calibri"/>
                <w:b w:val="false"/>
                <w:bCs w:val="false"/>
                <w:color w:val="0D7377"/>
                <w:sz w:val="20"/>
                <w:szCs w:val="20"/>
              </w:rPr>
              <w:t xml:space="preserve">Evaluate for $5/month LLM microservice</w:t>
            </w:r>
          </w:p>
        </w:tc>
      </w:tr>
      <w:tr>
        <w:tc>
          <w:tcPr>
            <w:shd w:fill="FFFFFF" w:color="FFFFFF" w:val="solid"/>
            <w:tcMar>
              <w:top w:type="dxa" w:w="6"/>
              <w:left w:type="dxa" w:w="10"/>
              <w:bottom w:type="dxa" w:w="6"/>
              <w:right w:type="dxa" w:w="10"/>
            </w:tcMar>
            <w:vAlign w:val="center"/>
          </w:tcPr>
          <w:p>
            <w:pPr>
              <w:jc w:val="left"/>
            </w:pPr>
            <w:r>
              <w:rPr>
                <w:rFonts w:ascii="Calibri" w:cs="Calibri" w:eastAsia="Calibri" w:hAnsi="Calibri"/>
                <w:b/>
                <w:bCs/>
                <w:color w:val="1A1A2E"/>
                <w:sz w:val="20"/>
                <w:szCs w:val="20"/>
              </w:rPr>
              <w:t xml:space="preserve">Render</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Not currently used</w:t>
            </w:r>
          </w:p>
        </w:tc>
        <w:tc>
          <w:tcPr>
            <w:shd w:fill="D4EDDA" w:color="D4EDDA" w:val="solid"/>
            <w:tcMar>
              <w:top w:type="dxa" w:w="6"/>
              <w:left w:type="dxa" w:w="10"/>
              <w:bottom w:type="dxa" w:w="6"/>
              <w:right w:type="dxa" w:w="10"/>
            </w:tcMar>
            <w:vAlign w:val="center"/>
          </w:tcPr>
          <w:p>
            <w:pPr>
              <w:jc w:val="left"/>
            </w:pPr>
            <w:r>
              <w:rPr>
                <w:rFonts w:ascii="Calibri" w:cs="Calibri" w:eastAsia="Calibri" w:hAnsi="Calibri"/>
                <w:b w:val="false"/>
                <w:bCs w:val="false"/>
                <w:color w:val="155724"/>
                <w:sz w:val="20"/>
                <w:szCs w:val="20"/>
              </w:rPr>
              <w:t xml:space="preserve">✓  Good (no timeout, $7/month)</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A1A2E"/>
                <w:sz w:val="20"/>
                <w:szCs w:val="20"/>
              </w:rPr>
              <w:t xml:space="preserve">Alternative to Sevalla — strong Docker support</w:t>
            </w:r>
          </w:p>
        </w:tc>
        <w:tc>
          <w:tcPr>
            <w:shd w:fill="FFFFFF" w:color="FFFFFF" w:val="solid"/>
            <w:tcMar>
              <w:top w:type="dxa" w:w="6"/>
              <w:left w:type="dxa" w:w="10"/>
              <w:bottom w:type="dxa" w:w="6"/>
              <w:right w:type="dxa" w:w="10"/>
            </w:tcMar>
            <w:vAlign w:val="center"/>
          </w:tcPr>
          <w:p>
            <w:pPr>
              <w:jc w:val="left"/>
            </w:pPr>
            <w:r>
              <w:rPr>
                <w:rFonts w:ascii="Calibri" w:cs="Calibri" w:eastAsia="Calibri" w:hAnsi="Calibri"/>
                <w:b w:val="false"/>
                <w:bCs w:val="false"/>
                <w:color w:val="1F3A6E"/>
                <w:sz w:val="20"/>
                <w:szCs w:val="20"/>
              </w:rPr>
              <w:t xml:space="preserve">Consider for multi-service LLM architecture</w:t>
            </w:r>
          </w:p>
        </w:tc>
      </w:tr>
    </w:tbl>
    <w:p>
      <w:pPr>
        <w:spacing w:before="0" w:after="16"/>
      </w:pPr>
    </w:p>
    <w:p>
      <w:pPr>
        <w:pStyle w:val="Heading2"/>
        <w:pBdr>
          <w:bottom w:val="single" w:color="0D7377" w:sz="4" w:space="1"/>
        </w:pBdr>
        <w:spacing w:before="28" w:after="12"/>
      </w:pPr>
      <w:r>
        <w:rPr>
          <w:rFonts w:ascii="Calibri" w:cs="Calibri" w:eastAsia="Calibri" w:hAnsi="Calibri"/>
          <w:b/>
          <w:bCs/>
          <w:color w:val="1F3A6E"/>
          <w:sz w:val="26"/>
          <w:szCs w:val="26"/>
        </w:rPr>
        <w:t xml:space="preserve">Final Answer: Which Platform for LLM Integration?</w:t>
      </w:r>
    </w:p>
    <w:p>
      <w:pPr>
        <w:spacing w:before="0" w:after="8"/>
      </w:pPr>
    </w:p>
    <w:p>
      <w:pPr>
        <w:pBdr>
          <w:left w:val="single" w:color="27AE60" w:sz="12" w:space="6"/>
        </w:pBdr>
        <w:shd w:fill="D4EDDA" w:color="D4EDDA" w:val="solid"/>
        <w:spacing w:before="12" w:after="12"/>
        <w:ind w:left="431" w:right="431"/>
      </w:pPr>
      <w:r>
        <w:rPr>
          <w:rFonts w:ascii="Calibri" w:cs="Calibri" w:eastAsia="Calibri" w:hAnsi="Calibri"/>
          <w:b/>
          <w:bCs/>
          <w:color w:val="155724"/>
          <w:sz w:val="22"/>
          <w:szCs w:val="22"/>
        </w:rPr>
        <w:t xml:space="preserve">✓  1st Choice — Vercel (Hobby/Free): Zero additional cost. 300-second timeout with Fluid Compute. Native Anthropic AI SDK, streaming support, and 18 global regions. Deploy the financial analysis API as Vercel API routes immediately to resolve the Netlify timeout issue.</w:t>
      </w:r>
    </w:p>
    <w:p>
      <w:pPr>
        <w:spacing w:before="0" w:after="8"/>
      </w:pPr>
    </w:p>
    <w:p>
      <w:pPr>
        <w:pBdr>
          <w:left w:val="single" w:color="27AE60" w:sz="12" w:space="6"/>
        </w:pBdr>
        <w:shd w:fill="D4EDDA" w:color="D4EDDA" w:val="solid"/>
        <w:spacing w:before="12" w:after="12"/>
        <w:ind w:left="431" w:right="431"/>
      </w:pPr>
      <w:r>
        <w:rPr>
          <w:rFonts w:ascii="Calibri" w:cs="Calibri" w:eastAsia="Calibri" w:hAnsi="Calibri"/>
          <w:b/>
          <w:bCs/>
          <w:color w:val="155724"/>
          <w:sz w:val="22"/>
          <w:szCs w:val="22"/>
        </w:rPr>
        <w:t xml:space="preserve">✓  2nd Choice — Sevalla ($5/month): Persistent container, no timeout constraints, Johannesburg data centre for South African clients, Docker-first, enterprise compliance (SOC 2, ISO 27001, GDPR). Best choice for a production-grade EdMeCa LLM service as the product scales.</w:t>
      </w:r>
    </w:p>
    <w:p>
      <w:pPr>
        <w:spacing w:before="0" w:after="8"/>
      </w:pPr>
    </w:p>
    <w:p>
      <w:pPr>
        <w:pBdr>
          <w:left w:val="single" w:color="E8A838" w:sz="12" w:space="6"/>
        </w:pBdr>
        <w:shd w:fill="FEF3CD" w:color="FEF3CD" w:val="solid"/>
        <w:spacing w:before="12" w:after="12"/>
        <w:ind w:left="431" w:right="431"/>
      </w:pPr>
      <w:r>
        <w:rPr>
          <w:rFonts w:ascii="Calibri" w:cs="Calibri" w:eastAsia="Calibri" w:hAnsi="Calibri"/>
          <w:b/>
          <w:bCs/>
          <w:color w:val="6B4A00"/>
          <w:sz w:val="22"/>
          <w:szCs w:val="22"/>
        </w:rPr>
        <w:t xml:space="preserve">⚠  Action Required: Do NOT build further LLM features directly on Netlify synchronous functions. The 10-second timeout is a hard architectural constraint that will cause failures on every complex AI query. Migrate LLM endpoints to Vercel or Sevalla before additional features are built.</w:t>
      </w:r>
    </w:p>
    <w:p>
      <w:pPr>
        <w:spacing w:before="0" w:after="16"/>
      </w:pPr>
    </w:p>
    <w:p>
      <w:pPr>
        <w:shd w:fill="1F3A6E" w:color="1F3A6E" w:val="solid"/>
        <w:spacing w:before="16" w:after="16"/>
        <w:jc w:val="center"/>
      </w:pPr>
      <w:r>
        <w:rPr>
          <w:rFonts w:ascii="Calibri" w:cs="Calibri" w:eastAsia="Calibri" w:hAnsi="Calibri"/>
          <w:color w:val="AAAAAA"/>
          <w:sz w:val="18"/>
          <w:szCs w:val="18"/>
        </w:rPr>
        <w:t xml:space="preserve">EdMeCa Academy  ·  Internal Technical Report  ·  February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2026-02-23T08:09:50.960Z</dcterms:created>
  <dcterms:modified xsi:type="dcterms:W3CDTF">2026-02-23T08:09:50.969Z</dcterms:modified>
</cp:coreProperties>
</file>

<file path=docProps/custom.xml><?xml version="1.0" encoding="utf-8"?>
<Properties xmlns="http://schemas.openxmlformats.org/officeDocument/2006/custom-properties" xmlns:vt="http://schemas.openxmlformats.org/officeDocument/2006/docPropsVTypes"/>
</file>