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auto" w:sz="0"/>
          <w:left w:val="none" w:color="auto" w:sz="0"/>
          <w:bottom w:val="none" w:color="auto" w:sz="0"/>
          <w:right w:val="none" w:color="auto" w:sz="0"/>
          <w:insideH w:val="single" w:color="auto" w:sz="4"/>
          <w:insideV w:val="single" w:color="auto" w:sz="4"/>
        </w:tblBorders>
      </w:tblPr>
      <w:tblGrid>
        <w:gridCol w:w="100"/>
      </w:tblGrid>
      <w:tr>
        <w:tc>
          <w:tcPr>
            <w:shd w:color="1F3A6E" w:val="solid"/>
            <w:tcMar>
              <w:top w:type="dxa" w:w="228600"/>
              <w:left w:type="dxa" w:w="254000"/>
              <w:bottom w:type="dxa" w:w="228600"/>
              <w:right w:type="dxa" w:w="254000"/>
            </w:tcMar>
          </w:tcPr>
          <w:p>
            <w:pPr>
              <w:spacing w:after="0"/>
            </w:pPr>
            <w:r>
              <w:rPr>
                <w:rFonts w:ascii="Calibri" w:cs="Calibri" w:eastAsia="Calibri" w:hAnsi="Calibri"/>
                <w:b/>
                <w:bCs/>
                <w:color w:val="D4A017"/>
                <w:spacing w:val="200"/>
                <w:sz w:val="16"/>
                <w:szCs w:val="16"/>
              </w:rPr>
              <w:t xml:space="preserve">CONFIDENTIAL</w:t>
            </w:r>
          </w:p>
        </w:tc>
      </w:tr>
    </w:tbl>
    <w:p>
      <w:pPr>
        <w:spacing w:after="240"/>
      </w:pPr>
      <w:r>
        <w:t xml:space="preserve"> </w:t>
      </w:r>
    </w:p>
    <w:tbl>
      <w:tblPr>
        <w:tblW w:type="pct" w:w="100%"/>
        <w:tblBorders>
          <w:top w:val="none" w:color="auto" w:sz="0"/>
          <w:left w:val="none" w:color="auto" w:sz="0"/>
          <w:bottom w:val="none" w:color="auto" w:sz="0"/>
          <w:right w:val="none" w:color="auto" w:sz="0"/>
          <w:insideH w:val="single" w:color="auto" w:sz="4"/>
          <w:insideV w:val="single" w:color="auto" w:sz="4"/>
        </w:tblBorders>
      </w:tblPr>
      <w:tblGrid>
        <w:gridCol w:w="100"/>
        <w:gridCol w:w="100"/>
      </w:tblGrid>
      <w:tr>
        <w:tc>
          <w:tcPr>
            <w:tcW w:type="pct" w:w="40%"/>
            <w:tcMar>
              <w:top w:type="dxa" w:w="203200"/>
              <w:bottom w:type="dxa" w:w="101600"/>
              <w:right w:type="dxa" w:w="203200"/>
            </w:tcMar>
          </w:tcPr>
          <w:p>
            <w:pPr>
              <w:spacing w:after="0"/>
              <w:jc w:val="left"/>
            </w:pPr>
            <w:r>
              <w:drawing>
                <wp:inline distT="0" distB="0" distL="0" distR="0">
                  <wp:extent cx="19161252000" cy="1077820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161252000" cy="10778204250"/>
                          </a:xfrm>
                          <a:prstGeom prst="rect">
                            <a:avLst/>
                          </a:prstGeom>
                        </pic:spPr>
                      </pic:pic>
                    </a:graphicData>
                  </a:graphic>
                </wp:inline>
              </w:drawing>
            </w:r>
          </w:p>
        </w:tc>
        <w:tc>
          <w:tcPr>
            <w:tcW w:type="pct" w:w="60%"/>
            <w:tcMar>
              <w:top w:type="dxa" w:w="203200"/>
              <w:left w:type="dxa" w:w="203200"/>
              <w:bottom w:type="dxa" w:w="101600"/>
            </w:tcMar>
            <w:vAlign w:val="bottom"/>
          </w:tcPr>
          <w:p>
            <w:pPr>
              <w:spacing w:after="60"/>
            </w:pPr>
            <w:r>
              <w:rPr>
                <w:rFonts w:ascii="Calibri" w:cs="Calibri" w:eastAsia="Calibri" w:hAnsi="Calibri"/>
                <w:b/>
                <w:bCs/>
                <w:color w:val="1F3A6E"/>
                <w:sz w:val="44"/>
                <w:szCs w:val="44"/>
              </w:rPr>
              <w:t xml:space="preserve">Security Audit Report</w:t>
            </w:r>
          </w:p>
          <w:p>
            <w:pPr>
              <w:spacing w:after="40"/>
            </w:pPr>
            <w:r>
              <w:rPr>
                <w:rFonts w:ascii="Calibri" w:cs="Calibri" w:eastAsia="Calibri" w:hAnsi="Calibri"/>
                <w:color w:val="4A5568"/>
                <w:sz w:val="26"/>
                <w:szCs w:val="26"/>
              </w:rPr>
              <w:t xml:space="preserve">EDMECA Digital Academy</w:t>
            </w:r>
          </w:p>
        </w:tc>
      </w:tr>
    </w:tbl>
    <w:p>
      <w:pPr>
        <w:spacing w:after="80"/>
      </w:pPr>
      <w:r>
        <w:t xml:space="preserve"> </w:t>
      </w:r>
    </w:p>
    <w:tbl>
      <w:tblPr>
        <w:tblW w:type="pct" w:w="100%"/>
        <w:tblBorders>
          <w:top w:val="none" w:color="auto" w:sz="0"/>
          <w:left w:val="none" w:color="auto" w:sz="0"/>
          <w:bottom w:val="none" w:color="auto" w:sz="0"/>
          <w:right w:val="none" w:color="auto" w:sz="0"/>
          <w:insideH w:val="single" w:color="auto" w:sz="4"/>
          <w:insideV w:val="single" w:color="auto" w:sz="4"/>
        </w:tblBorders>
      </w:tblPr>
      <w:tblGrid>
        <w:gridCol w:w="100"/>
      </w:tblGrid>
      <w:tr>
        <w:tc>
          <w:tcPr>
            <w:shd w:color="D4A017" w:val="solid"/>
            <w:tcMar>
              <w:top w:type="dxa" w:w="25400"/>
              <w:bottom w:type="dxa" w:w="25400"/>
            </w:tcMar>
          </w:tcPr>
          <w:p>
            <w:pPr>
              <w:spacing w:after="0"/>
            </w:pPr>
            <w:r>
              <w:t xml:space="preserve"/>
            </w:r>
          </w:p>
        </w:tc>
      </w:tr>
    </w:tbl>
    <w:p>
      <w:pPr>
        <w:spacing w:after="280"/>
      </w:pPr>
      <w:r>
        <w:t xml:space="preserve"> </w:t>
      </w:r>
    </w:p>
    <w:tbl>
      <w:tblPr>
        <w:tblW w:type="pct" w:w="100%"/>
        <w:tblBorders>
          <w:top w:val="single" w:color="DDE2EC" w:sz="8"/>
          <w:left w:val="single" w:color="DDE2EC" w:sz="8"/>
          <w:bottom w:val="single" w:color="DDE2EC" w:sz="8"/>
          <w:right w:val="single" w:color="DDE2EC" w:sz="8"/>
          <w:insideH w:val="single" w:color="auto" w:sz="4"/>
          <w:insideV w:val="single" w:color="auto" w:sz="4"/>
        </w:tblBorders>
      </w:tblPr>
      <w:tblGrid>
        <w:gridCol w:w="100"/>
        <w:gridCol w:w="100"/>
      </w:tblGrid>
      <w:tr>
        <w:tc>
          <w:tcPr>
            <w:tcW w:type="pct" w:w="28%"/>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Report Title</w:t>
            </w:r>
          </w:p>
        </w:tc>
        <w:tc>
          <w:tcPr>
            <w:tcW w:type="pct" w:w="7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Security Audit Report — Application Security Assessment</w:t>
            </w:r>
          </w:p>
        </w:tc>
      </w:tr>
      <w:tr>
        <w:tc>
          <w:tcPr>
            <w:tcW w:type="pct" w:w="28%"/>
            <w:shd w:color="F8F9FC"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Client</w:t>
            </w:r>
          </w:p>
        </w:tc>
        <w:tc>
          <w:tcPr>
            <w:tcW w:type="pct" w:w="7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EDMECA Digital Academy</w:t>
            </w:r>
          </w:p>
        </w:tc>
      </w:tr>
      <w:tr>
        <w:tc>
          <w:tcPr>
            <w:tcW w:type="pct" w:w="28%"/>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Prepared By</w:t>
            </w:r>
          </w:p>
        </w:tc>
        <w:tc>
          <w:tcPr>
            <w:tcW w:type="pct" w:w="7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X4O Consulting — EDMECA Development Team</w:t>
            </w:r>
          </w:p>
        </w:tc>
      </w:tr>
      <w:tr>
        <w:tc>
          <w:tcPr>
            <w:tcW w:type="pct" w:w="28%"/>
            <w:shd w:color="F8F9FC"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Report Date</w:t>
            </w:r>
          </w:p>
        </w:tc>
        <w:tc>
          <w:tcPr>
            <w:tcW w:type="pct" w:w="7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04 March 2026</w:t>
            </w:r>
          </w:p>
        </w:tc>
      </w:tr>
      <w:tr>
        <w:tc>
          <w:tcPr>
            <w:tcW w:type="pct" w:w="28%"/>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Audit Scope</w:t>
            </w:r>
          </w:p>
        </w:tc>
        <w:tc>
          <w:tcPr>
            <w:tcW w:type="pct" w:w="7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Web Application · API Functions · Database · Infrastructure · Dependencies</w:t>
            </w:r>
          </w:p>
        </w:tc>
      </w:tr>
      <w:tr>
        <w:tc>
          <w:tcPr>
            <w:tcW w:type="pct" w:w="28%"/>
            <w:shd w:color="F8F9FC"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Overall Risk Rating</w:t>
            </w:r>
          </w:p>
        </w:tc>
        <w:tc>
          <w:tcPr>
            <w:tcW w:type="pct" w:w="72%"/>
            <w:shd w:color="DCFCE7" w:val="solid"/>
            <w:tcMar>
              <w:top w:type="dxa" w:w="38100"/>
              <w:left w:type="dxa" w:w="101600"/>
              <w:bottom w:type="dxa" w:w="38100"/>
              <w:right w:type="dxa" w:w="101600"/>
            </w:tcMar>
            <w:vAlign w:val="center"/>
          </w:tcPr>
          <w:p>
            <w:pPr>
              <w:spacing w:after="0"/>
              <w:jc w:val="left"/>
            </w:pPr>
            <w:r>
              <w:rPr>
                <w:rFonts w:ascii="Calibri" w:cs="Calibri" w:eastAsia="Calibri" w:hAnsi="Calibri"/>
                <w:b/>
                <w:bCs/>
                <w:color w:val="166534"/>
                <w:sz w:val="19"/>
                <w:szCs w:val="19"/>
              </w:rPr>
              <w:t xml:space="preserve">LOW — No critical or high-severity vulnerabilities remain in application code</w:t>
            </w:r>
          </w:p>
        </w:tc>
      </w:tr>
      <w:tr>
        <w:tc>
          <w:tcPr>
            <w:tcW w:type="pct" w:w="28%"/>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Classification</w:t>
            </w:r>
          </w:p>
        </w:tc>
        <w:tc>
          <w:tcPr>
            <w:tcW w:type="pct" w:w="72%"/>
            <w:tcMar>
              <w:top w:type="dxa" w:w="38100"/>
              <w:left w:type="dxa" w:w="101600"/>
              <w:bottom w:type="dxa" w:w="38100"/>
              <w:right w:type="dxa" w:w="101600"/>
            </w:tcMar>
            <w:vAlign w:val="center"/>
          </w:tcPr>
          <w:p>
            <w:pPr>
              <w:spacing w:after="0"/>
              <w:jc w:val="left"/>
            </w:pPr>
            <w:r>
              <w:rPr>
                <w:rFonts w:ascii="Calibri" w:cs="Calibri" w:eastAsia="Calibri" w:hAnsi="Calibri"/>
                <w:b/>
                <w:bCs/>
                <w:color w:val="991B1B"/>
                <w:sz w:val="19"/>
                <w:szCs w:val="19"/>
              </w:rPr>
              <w:t xml:space="preserve">CONFIDENTIAL — For authorised stakeholders only</w:t>
            </w:r>
          </w:p>
        </w:tc>
      </w:tr>
    </w:tbl>
    <w:p>
      <w:pPr>
        <w:spacing w:after="400"/>
      </w:pPr>
      <w:r>
        <w:t xml:space="preserve"> </w:t>
      </w:r>
    </w:p>
    <w:p>
      <w:pPr>
        <w:pBdr>
          <w:top w:val="single" w:color="DDE2EC" w:sz="4"/>
        </w:pBdr>
        <w:spacing w:after="0"/>
      </w:pPr>
      <w:r>
        <w:rPr>
          <w:rFonts w:ascii="Calibri" w:cs="Calibri" w:eastAsia="Calibri" w:hAnsi="Calibri"/>
          <w:i/>
          <w:iCs/>
          <w:color w:val="4A5568"/>
          <w:sz w:val="17"/>
          <w:szCs w:val="17"/>
        </w:rPr>
        <w:t xml:space="preserve">This report has been prepared by X4O Consulting on behalf of EDMECA Digital Academy. </w:t>
      </w:r>
      <w:r>
        <w:rPr>
          <w:rFonts w:ascii="Calibri" w:cs="Calibri" w:eastAsia="Calibri" w:hAnsi="Calibri"/>
          <w:i/>
          <w:iCs/>
          <w:color w:val="4A5568"/>
          <w:sz w:val="17"/>
          <w:szCs w:val="17"/>
        </w:rPr>
        <w:t xml:space="preserve">It contains confidential information, including vulnerability assessments and remediation details. </w:t>
      </w:r>
      <w:r>
        <w:rPr>
          <w:rFonts w:ascii="Calibri" w:cs="Calibri" w:eastAsia="Calibri" w:hAnsi="Calibri"/>
          <w:i/>
          <w:iCs/>
          <w:color w:val="4A5568"/>
          <w:sz w:val="17"/>
          <w:szCs w:val="17"/>
        </w:rPr>
        <w:t xml:space="preserve">Distribution must be limited to authorised personnel involved in application development, security oversight, and management.</w:t>
      </w:r>
    </w:p>
    <w:p>
      <w:r>
        <w:br w:type="page"/>
      </w:r>
    </w:p>
    <w:p>
      <w:pPr>
        <w:pStyle w:val="Heading1"/>
        <w:shd w:color="1F3A6E" w:val="solid"/>
        <w:spacing w:before="280" w:after="0"/>
        <w:ind w:left="172" w:right="172"/>
        <w:jc w:val="left"/>
      </w:pPr>
      <w:r>
        <w:rPr>
          <w:rFonts w:ascii="Calibri" w:cs="Calibri" w:eastAsia="Calibri" w:hAnsi="Calibri"/>
          <w:b/>
          <w:bCs/>
          <w:color w:val="FFFFFF"/>
          <w:sz w:val="26"/>
          <w:szCs w:val="26"/>
        </w:rPr>
        <w:t xml:space="preserve">1.  Executive Summary</w:t>
      </w:r>
    </w:p>
    <w:p>
      <w:pPr>
        <w:spacing w:after="60"/>
      </w:pPr>
      <w:r>
        <w:t xml:space="preserve"> </w:t>
      </w:r>
    </w:p>
    <w:p>
      <w:pPr>
        <w:spacing w:before="0" w:after="100" w:line="276" w:lineRule="auto"/>
      </w:pPr>
      <w:r>
        <w:rPr>
          <w:rFonts w:ascii="Calibri" w:cs="Calibri" w:eastAsia="Calibri" w:hAnsi="Calibri"/>
          <w:color w:val="1A202C"/>
          <w:sz w:val="21"/>
          <w:szCs w:val="21"/>
        </w:rPr>
        <w:t xml:space="preserve">This report presents the findings of a structured application security audit conducted against the EDMECA Digital Academy platform on 04 March 2026. The assessment was performed by the X4O Consulting development team and covers the full application stack: frontend web application, server-side API functions, database access controls, third-party software components, and deployment configuration.</w:t>
      </w:r>
    </w:p>
    <w:p>
      <w:pPr>
        <w:spacing w:after="40"/>
      </w:pPr>
      <w:r>
        <w:t xml:space="preserve"> </w:t>
      </w:r>
    </w:p>
    <w:p>
      <w:pPr>
        <w:spacing w:before="0" w:after="100" w:line="276" w:lineRule="auto"/>
      </w:pPr>
      <w:r>
        <w:rPr>
          <w:rFonts w:ascii="Calibri" w:cs="Calibri" w:eastAsia="Calibri" w:hAnsi="Calibri"/>
          <w:color w:val="1A202C"/>
          <w:sz w:val="21"/>
          <w:szCs w:val="21"/>
        </w:rPr>
        <w:t xml:space="preserve">The audit identified nine areas requiring attention. All issues within direct application code have been fully remediated during this audit cycle. No critical or high-severity vulnerabilities remain in application code. One medium-severity concern in a third-party dependency (SheetJS/xlsx) persists due to the absence of an upstream fix; a replacement plan is documented in the recommendations section.</w:t>
      </w:r>
    </w:p>
    <w:p>
      <w:pPr>
        <w:spacing w:after="120"/>
      </w:pPr>
      <w:r>
        <w:t xml:space="preserve"> </w:t>
      </w:r>
    </w:p>
    <w:p>
      <w:pPr>
        <w:pStyle w:val="Heading2"/>
        <w:pBdr>
          <w:bottom w:val="single" w:color="DDE2EC" w:sz="4"/>
        </w:pBdr>
        <w:spacing w:before="240" w:after="80"/>
      </w:pPr>
      <w:r>
        <w:rPr>
          <w:rFonts w:ascii="Calibri" w:cs="Calibri" w:eastAsia="Calibri" w:hAnsi="Calibri"/>
          <w:b/>
          <w:bCs/>
          <w:color w:val="D4A017"/>
          <w:sz w:val="22"/>
          <w:szCs w:val="22"/>
        </w:rPr>
        <w:t xml:space="preserve">1.1  </w:t>
      </w:r>
      <w:r>
        <w:rPr>
          <w:rFonts w:ascii="Calibri" w:cs="Calibri" w:eastAsia="Calibri" w:hAnsi="Calibri"/>
          <w:b/>
          <w:bCs/>
          <w:color w:val="1F3A6E"/>
          <w:sz w:val="22"/>
          <w:szCs w:val="22"/>
        </w:rPr>
        <w:t xml:space="preserve">Audit Scorecard</w:t>
      </w:r>
    </w:p>
    <w:tbl>
      <w:tblPr>
        <w:tblW w:type="pct" w:w="100%"/>
        <w:tblBorders>
          <w:top w:val="single" w:color="1F3A6E" w:sz="8"/>
          <w:left w:val="single" w:color="1F3A6E" w:sz="8"/>
          <w:bottom w:val="single" w:color="1F3A6E" w:sz="8"/>
          <w:right w:val="single" w:color="1F3A6E" w:sz="8"/>
          <w:insideH w:val="single" w:color="auto" w:sz="4"/>
          <w:insideV w:val="single" w:color="auto" w:sz="4"/>
        </w:tblBorders>
      </w:tblPr>
      <w:tblGrid>
        <w:gridCol w:w="100"/>
        <w:gridCol w:w="100"/>
        <w:gridCol w:w="100"/>
        <w:gridCol w:w="100"/>
      </w:tblGrid>
      <w:tr>
        <w:tc>
          <w:tcPr>
            <w:tcW w:type="pct" w:w="38%"/>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Security Domain</w:t>
            </w:r>
          </w:p>
        </w:tc>
        <w:tc>
          <w:tcPr>
            <w:tcW w:type="pct" w:w="17%"/>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Status</w:t>
            </w:r>
          </w:p>
        </w:tc>
        <w:tc>
          <w:tcPr>
            <w:tcW w:type="pct" w:w="15%"/>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Risk</w:t>
            </w:r>
          </w:p>
        </w:tc>
        <w:tc>
          <w:tcPr>
            <w:tcW w:type="pct" w:w="30%"/>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Action Taken</w:t>
            </w:r>
          </w:p>
        </w:tc>
      </w:tr>
      <w:tr>
        <w:tc>
          <w:tcPr>
            <w:tcW w:type="pct" w:w="38%"/>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User Authentication &amp; Session Management</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PASS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None</w:t>
            </w:r>
          </w:p>
        </w:tc>
        <w:tc>
          <w:tcPr>
            <w:tcW w:type="pct" w:w="3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Supabase JWT — no action required</w:t>
            </w:r>
          </w:p>
        </w:tc>
      </w:tr>
      <w:tr>
        <w:tc>
          <w:tcPr>
            <w:tcW w:type="pct" w:w="38%"/>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Database Row-Level Security</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PASS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None</w:t>
            </w:r>
          </w:p>
        </w:tc>
        <w:tc>
          <w:tcPr>
            <w:tcW w:type="pct" w:w="3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RLS enabled on all tables; write policies clarified</w:t>
            </w:r>
          </w:p>
        </w:tc>
      </w:tr>
      <w:tr>
        <w:tc>
          <w:tcPr>
            <w:tcW w:type="pct" w:w="38%"/>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Secrets &amp; Credential Management</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PASS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None</w:t>
            </w:r>
          </w:p>
        </w:tc>
        <w:tc>
          <w:tcPr>
            <w:tcW w:type="pct" w:w="3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No hardcoded secrets in codebase</w:t>
            </w:r>
          </w:p>
        </w:tc>
      </w:tr>
      <w:tr>
        <w:tc>
          <w:tcPr>
            <w:tcW w:type="pct" w:w="38%"/>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Cross-Site Scripting (XSS)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PASS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None</w:t>
            </w:r>
          </w:p>
        </w:tc>
        <w:tc>
          <w:tcPr>
            <w:tcW w:type="pct" w:w="3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dangerouslySetInnerHTML removed; Blob URL pattern adopted</w:t>
            </w:r>
          </w:p>
        </w:tc>
      </w:tr>
      <w:tr>
        <w:tc>
          <w:tcPr>
            <w:tcW w:type="pct" w:w="38%"/>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API &amp; CORS Configuration</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PASS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None</w:t>
            </w:r>
          </w:p>
        </w:tc>
        <w:tc>
          <w:tcPr>
            <w:tcW w:type="pct" w:w="3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Strict origin allowlist on all functions</w:t>
            </w:r>
          </w:p>
        </w:tc>
      </w:tr>
      <w:tr>
        <w:tc>
          <w:tcPr>
            <w:tcW w:type="pct" w:w="38%"/>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HTTP Security Headers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PASS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None</w:t>
            </w:r>
          </w:p>
        </w:tc>
        <w:tc>
          <w:tcPr>
            <w:tcW w:type="pct" w:w="3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HSTS, CSP, Permissions-Policy added</w:t>
            </w:r>
          </w:p>
        </w:tc>
      </w:tr>
      <w:tr>
        <w:tc>
          <w:tcPr>
            <w:tcW w:type="pct" w:w="38%"/>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Contact Form (PII Logging)</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PASS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None</w:t>
            </w:r>
          </w:p>
        </w:tc>
        <w:tc>
          <w:tcPr>
            <w:tcW w:type="pct" w:w="3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PII logging removed from server logs</w:t>
            </w:r>
          </w:p>
        </w:tc>
      </w:tr>
      <w:tr>
        <w:tc>
          <w:tcPr>
            <w:tcW w:type="pct" w:w="38%"/>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Admin Endpoint Security</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PASS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None</w:t>
            </w:r>
          </w:p>
        </w:tc>
        <w:tc>
          <w:tcPr>
            <w:tcW w:type="pct" w:w="3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Secret moved from URL param to header-only</w:t>
            </w:r>
          </w:p>
        </w:tc>
      </w:tr>
      <w:tr>
        <w:tc>
          <w:tcPr>
            <w:tcW w:type="pct" w:w="38%"/>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Input Sanitisation (AI Prompts)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PASS</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None</w:t>
            </w:r>
          </w:p>
        </w:tc>
        <w:tc>
          <w:tcPr>
            <w:tcW w:type="pct" w:w="3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companyName sanitised; max 200 chars enforced</w:t>
            </w:r>
          </w:p>
        </w:tc>
      </w:tr>
      <w:tr>
        <w:tc>
          <w:tcPr>
            <w:tcW w:type="pct" w:w="38%"/>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Third-Party Dependencies</w:t>
            </w:r>
          </w:p>
        </w:tc>
        <w:tc>
          <w:tcPr>
            <w:shd w:color="FEF3C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92400E"/>
                <w:sz w:val="19"/>
                <w:szCs w:val="19"/>
              </w:rPr>
              <w:t xml:space="preserve">REVIEW</w:t>
            </w:r>
          </w:p>
        </w:tc>
        <w:tc>
          <w:tcPr>
            <w:shd w:color="FEF3C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92400E"/>
                <w:sz w:val="19"/>
                <w:szCs w:val="19"/>
              </w:rPr>
              <w:t xml:space="preserve">Medium</w:t>
            </w:r>
          </w:p>
        </w:tc>
        <w:tc>
          <w:tcPr>
            <w:tcW w:type="pct" w:w="3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xlsx (no upstream fix); @vercel/node upgrade planned</w:t>
            </w:r>
          </w:p>
        </w:tc>
      </w:tr>
    </w:tbl>
    <w:p>
      <w:pPr>
        <w:spacing w:after="120"/>
      </w:pPr>
      <w:r>
        <w:t xml:space="preserve"> </w:t>
      </w:r>
    </w:p>
    <w:p>
      <w:pPr>
        <w:pBdr>
          <w:left w:val="single" w:color="1F3A6E" w:sz="16"/>
        </w:pBdr>
        <w:shd w:color="EEF2FB" w:val="solid"/>
        <w:spacing w:before="120" w:after="160"/>
        <w:ind w:left="215" w:right="215"/>
      </w:pPr>
      <w:r>
        <w:rPr>
          <w:rFonts w:ascii="Calibri" w:cs="Calibri" w:eastAsia="Calibri" w:hAnsi="Calibri"/>
          <w:i/>
          <w:iCs/>
          <w:color w:val="1F3A6E"/>
          <w:sz w:val="20"/>
          <w:szCs w:val="20"/>
        </w:rPr>
        <w:t xml:space="preserve">Overall Security Posture: GOOD  ·  9 of 10 checks passing  ·  0 critical / 0 high vulnerabilities in application code  ·  The platform is suitable for continued controlled rollout. A dynamic penetration test is recommended prior to full public launch.</w:t>
      </w:r>
    </w:p>
    <w:p>
      <w:r>
        <w:br w:type="page"/>
      </w:r>
    </w:p>
    <w:p>
      <w:pPr>
        <w:pStyle w:val="Heading1"/>
        <w:shd w:color="1F3A6E" w:val="solid"/>
        <w:spacing w:before="280" w:after="0"/>
        <w:ind w:left="172" w:right="172"/>
        <w:jc w:val="left"/>
      </w:pPr>
      <w:r>
        <w:rPr>
          <w:rFonts w:ascii="Calibri" w:cs="Calibri" w:eastAsia="Calibri" w:hAnsi="Calibri"/>
          <w:b/>
          <w:bCs/>
          <w:color w:val="FFFFFF"/>
          <w:sz w:val="26"/>
          <w:szCs w:val="26"/>
        </w:rPr>
        <w:t xml:space="preserve">2.  Scope &amp; Methodology</w:t>
      </w:r>
    </w:p>
    <w:p>
      <w:pPr>
        <w:spacing w:after="60"/>
      </w:pPr>
      <w:r>
        <w:t xml:space="preserve"> </w:t>
      </w:r>
    </w:p>
    <w:p>
      <w:pPr>
        <w:pStyle w:val="Heading2"/>
        <w:pBdr>
          <w:bottom w:val="single" w:color="DDE2EC" w:sz="4"/>
        </w:pBdr>
        <w:spacing w:before="240" w:after="80"/>
      </w:pPr>
      <w:r>
        <w:rPr>
          <w:rFonts w:ascii="Calibri" w:cs="Calibri" w:eastAsia="Calibri" w:hAnsi="Calibri"/>
          <w:b/>
          <w:bCs/>
          <w:color w:val="D4A017"/>
          <w:sz w:val="22"/>
          <w:szCs w:val="22"/>
        </w:rPr>
        <w:t xml:space="preserve">2.1  </w:t>
      </w:r>
      <w:r>
        <w:rPr>
          <w:rFonts w:ascii="Calibri" w:cs="Calibri" w:eastAsia="Calibri" w:hAnsi="Calibri"/>
          <w:b/>
          <w:bCs/>
          <w:color w:val="1F3A6E"/>
          <w:sz w:val="22"/>
          <w:szCs w:val="22"/>
        </w:rPr>
        <w:t xml:space="preserve">Components Assessed</w:t>
      </w:r>
    </w:p>
    <w:tbl>
      <w:tblPr>
        <w:tblW w:type="pct" w:w="100%"/>
        <w:tblBorders>
          <w:top w:val="single" w:color="1F3A6E" w:sz="8"/>
          <w:left w:val="single" w:color="1F3A6E" w:sz="8"/>
          <w:bottom w:val="single" w:color="1F3A6E" w:sz="8"/>
          <w:right w:val="single" w:color="1F3A6E" w:sz="8"/>
          <w:insideH w:val="single" w:color="auto" w:sz="4"/>
          <w:insideV w:val="single" w:color="auto" w:sz="4"/>
        </w:tblBorders>
      </w:tblPr>
      <w:tblGrid>
        <w:gridCol w:w="100"/>
        <w:gridCol w:w="100"/>
        <w:gridCol w:w="100"/>
      </w:tblGrid>
      <w:tr>
        <w:tc>
          <w:tcPr>
            <w:tcW w:type="pct" w:w="32%"/>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Component</w:t>
            </w:r>
          </w:p>
        </w:tc>
        <w:tc>
          <w:tcPr>
            <w:tcW w:type="pct" w:w="48%"/>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Description</w:t>
            </w:r>
          </w:p>
        </w:tc>
        <w:tc>
          <w:tcPr>
            <w:tcW w:type="pct" w:w="20%"/>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Files Examined</w:t>
            </w:r>
          </w:p>
        </w:tc>
      </w:tr>
      <w:tr>
        <w:tc>
          <w:tcPr>
            <w:tcW w:type="pct" w:w="3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Frontend Web Application</w:t>
            </w:r>
          </w:p>
        </w:tc>
        <w:tc>
          <w:tcPr>
            <w:tcW w:type="pct" w:w="4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React + TypeScript SPA (Vite). All pages, components, hooks, and utility libraries.</w:t>
            </w:r>
          </w:p>
        </w:tc>
        <w:tc>
          <w:tcPr>
            <w:tcW w:type="pct" w:w="20%"/>
            <w:shd w:color="F1F3F7"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89 source files</w:t>
            </w:r>
          </w:p>
        </w:tc>
      </w:tr>
      <w:tr>
        <w:tc>
          <w:tcPr>
            <w:tcW w:type="pct" w:w="3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AI Financial Analysis API</w:t>
            </w:r>
          </w:p>
        </w:tc>
        <w:tc>
          <w:tcPr>
            <w:tcW w:type="pct" w:w="4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Vercel serverless function. Receives uploaded documents, calls Anthropic Claude API.</w:t>
            </w:r>
          </w:p>
        </w:tc>
        <w:tc>
          <w:tcPr>
            <w:tcW w:type="pct" w:w="20%"/>
            <w:shd w:color="F1F3F7"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api/analyze-financials.ts</w:t>
            </w:r>
          </w:p>
        </w:tc>
      </w:tr>
      <w:tr>
        <w:tc>
          <w:tcPr>
            <w:tcW w:type="pct" w:w="3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Contact Form Function</w:t>
            </w:r>
          </w:p>
        </w:tc>
        <w:tc>
          <w:tcPr>
            <w:tcW w:type="pct" w:w="4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Netlify function. Receives public enquiries, stores to Supabase.</w:t>
            </w:r>
          </w:p>
        </w:tc>
        <w:tc>
          <w:tcPr>
            <w:tcW w:type="pct" w:w="20%"/>
            <w:shd w:color="F1F3F7"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netlify/functions/contact.ts</w:t>
            </w:r>
          </w:p>
        </w:tc>
      </w:tr>
      <w:tr>
        <w:tc>
          <w:tcPr>
            <w:tcW w:type="pct" w:w="3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AI Business Advisor (Chat)</w:t>
            </w:r>
          </w:p>
        </w:tc>
        <w:tc>
          <w:tcPr>
            <w:tcW w:type="pct" w:w="4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Netlify function. Chat interface powered by Groq llama-3.1-8b-instant.</w:t>
            </w:r>
          </w:p>
        </w:tc>
        <w:tc>
          <w:tcPr>
            <w:tcW w:type="pct" w:w="20%"/>
            <w:shd w:color="F1F3F7"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netlify/functions/chat.ts</w:t>
            </w:r>
          </w:p>
        </w:tc>
      </w:tr>
      <w:tr>
        <w:tc>
          <w:tcPr>
            <w:tcW w:type="pct" w:w="3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CDN Cache Management</w:t>
            </w:r>
          </w:p>
        </w:tc>
        <w:tc>
          <w:tcPr>
            <w:tcW w:type="pct" w:w="4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Netlify admin function. Protected by secret header.</w:t>
            </w:r>
          </w:p>
        </w:tc>
        <w:tc>
          <w:tcPr>
            <w:tcW w:type="pct" w:w="20%"/>
            <w:shd w:color="F1F3F7"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netlify/functions/purge-cdn.ts</w:t>
            </w:r>
          </w:p>
        </w:tc>
      </w:tr>
      <w:tr>
        <w:tc>
          <w:tcPr>
            <w:tcW w:type="pct" w:w="3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Database (Supabase)</w:t>
            </w:r>
          </w:p>
        </w:tc>
        <w:tc>
          <w:tcPr>
            <w:tcW w:type="pct" w:w="4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PostgreSQL + PostgREST. All tables, RLS policies, and migration scripts.</w:t>
            </w:r>
          </w:p>
        </w:tc>
        <w:tc>
          <w:tcPr>
            <w:tcW w:type="pct" w:w="20%"/>
            <w:shd w:color="F1F3F7"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supabase/migrations/*.sql</w:t>
            </w:r>
          </w:p>
        </w:tc>
      </w:tr>
      <w:tr>
        <w:tc>
          <w:tcPr>
            <w:tcW w:type="pct" w:w="3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Authentication</w:t>
            </w:r>
          </w:p>
        </w:tc>
        <w:tc>
          <w:tcPr>
            <w:tcW w:type="pct" w:w="4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Supabase Auth — email/password and Google OAuth.</w:t>
            </w:r>
          </w:p>
        </w:tc>
        <w:tc>
          <w:tcPr>
            <w:tcW w:type="pct" w:w="20%"/>
            <w:shd w:color="F1F3F7"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client/src/hooks/use-auth.ts</w:t>
            </w:r>
          </w:p>
        </w:tc>
      </w:tr>
      <w:tr>
        <w:tc>
          <w:tcPr>
            <w:tcW w:type="pct" w:w="3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Deployment Configuration</w:t>
            </w:r>
          </w:p>
        </w:tc>
        <w:tc>
          <w:tcPr>
            <w:tcW w:type="pct" w:w="4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Netlify config, response headers, branch/env strategy.</w:t>
            </w:r>
          </w:p>
        </w:tc>
        <w:tc>
          <w:tcPr>
            <w:tcW w:type="pct" w:w="20%"/>
            <w:shd w:color="F1F3F7"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netlify.toml</w:t>
            </w:r>
          </w:p>
        </w:tc>
      </w:tr>
      <w:tr>
        <w:tc>
          <w:tcPr>
            <w:tcW w:type="pct" w:w="3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Third-Party Dependencies</w:t>
            </w:r>
          </w:p>
        </w:tc>
        <w:tc>
          <w:tcPr>
            <w:tcW w:type="pct" w:w="4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All 675 npm packages — scanned via npm audit against GitHub Advisory Database.</w:t>
            </w:r>
          </w:p>
        </w:tc>
        <w:tc>
          <w:tcPr>
            <w:tcW w:type="pct" w:w="20%"/>
            <w:shd w:color="F1F3F7"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package.json + lock file</w:t>
            </w:r>
          </w:p>
        </w:tc>
      </w:tr>
    </w:tbl>
    <w:p>
      <w:pPr>
        <w:spacing w:after="120"/>
      </w:pPr>
      <w:r>
        <w:t xml:space="preserve"> </w:t>
      </w:r>
    </w:p>
    <w:p>
      <w:pPr>
        <w:pStyle w:val="Heading2"/>
        <w:pBdr>
          <w:bottom w:val="single" w:color="DDE2EC" w:sz="4"/>
        </w:pBdr>
        <w:spacing w:before="240" w:after="80"/>
      </w:pPr>
      <w:r>
        <w:rPr>
          <w:rFonts w:ascii="Calibri" w:cs="Calibri" w:eastAsia="Calibri" w:hAnsi="Calibri"/>
          <w:b/>
          <w:bCs/>
          <w:color w:val="D4A017"/>
          <w:sz w:val="22"/>
          <w:szCs w:val="22"/>
        </w:rPr>
        <w:t xml:space="preserve">2.2  </w:t>
      </w:r>
      <w:r>
        <w:rPr>
          <w:rFonts w:ascii="Calibri" w:cs="Calibri" w:eastAsia="Calibri" w:hAnsi="Calibri"/>
          <w:b/>
          <w:bCs/>
          <w:color w:val="1F3A6E"/>
          <w:sz w:val="22"/>
          <w:szCs w:val="22"/>
        </w:rPr>
        <w:t xml:space="preserve">Testing Methodology</w:t>
      </w:r>
    </w:p>
    <w:tbl>
      <w:tblPr>
        <w:tblW w:type="pct" w:w="100%"/>
        <w:tblBorders>
          <w:top w:val="single" w:color="1F3A6E" w:sz="8"/>
          <w:left w:val="single" w:color="1F3A6E" w:sz="8"/>
          <w:bottom w:val="single" w:color="1F3A6E" w:sz="8"/>
          <w:right w:val="single" w:color="1F3A6E" w:sz="8"/>
          <w:insideH w:val="single" w:color="auto" w:sz="4"/>
          <w:insideV w:val="single" w:color="auto" w:sz="4"/>
        </w:tblBorders>
      </w:tblPr>
      <w:tblGrid>
        <w:gridCol w:w="100"/>
        <w:gridCol w:w="100"/>
        <w:gridCol w:w="100"/>
      </w:tblGrid>
      <w:tr>
        <w:tc>
          <w:tcPr>
            <w:tcW w:type="pct" w:w="25%"/>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Technique</w:t>
            </w:r>
          </w:p>
        </w:tc>
        <w:tc>
          <w:tcPr>
            <w:tcW w:type="pct" w:w="55%"/>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Description</w:t>
            </w:r>
          </w:p>
        </w:tc>
        <w:tc>
          <w:tcPr>
            <w:tcW w:type="pct" w:w="20%"/>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Tools</w:t>
            </w:r>
          </w:p>
        </w:tc>
      </w:tr>
      <w:tr>
        <w:tc>
          <w:tcPr>
            <w:tcW w:type="pct" w:w="25%"/>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Static Analysis</w:t>
            </w:r>
          </w:p>
        </w:tc>
        <w:tc>
          <w:tcPr>
            <w:tcW w:type="pct" w:w="5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Regex-based pattern scanning of all source files for known vulnerability signatures aligned with OWASP Top 10 (2021).</w:t>
            </w:r>
          </w:p>
        </w:tc>
        <w:tc>
          <w:tcPr>
            <w:tcW w:type="pct" w:w="20%"/>
            <w:shd w:color="F1F3F7"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Custom audit script</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Dependency Scanning</w:t>
            </w:r>
          </w:p>
        </w:tc>
        <w:tc>
          <w:tcPr>
            <w:tcW w:type="pct" w:w="55%"/>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npm audit cross-referenced against the GitHub Advisory Database and npm security feed for CVE / GHSA advisories.</w:t>
            </w:r>
          </w:p>
        </w:tc>
        <w:tc>
          <w:tcPr>
            <w:tcW w:type="pct" w:w="2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npm audit --json</w:t>
            </w:r>
          </w:p>
        </w:tc>
      </w:tr>
      <w:tr>
        <w:tc>
          <w:tcPr>
            <w:tcW w:type="pct" w:w="25%"/>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Manual Code Review</w:t>
            </w:r>
          </w:p>
        </w:tc>
        <w:tc>
          <w:tcPr>
            <w:tcW w:type="pct" w:w="5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Line-by-line review of all server-side functions, authentication hooks, CORS configuration, and database migration scripts.</w:t>
            </w:r>
          </w:p>
        </w:tc>
        <w:tc>
          <w:tcPr>
            <w:tcW w:type="pct" w:w="20%"/>
            <w:shd w:color="F1F3F7"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Developer review</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Configuration Review</w:t>
            </w:r>
          </w:p>
        </w:tc>
        <w:tc>
          <w:tcPr>
            <w:tcW w:type="pct" w:w="55%"/>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Inspection of netlify.toml, vercel.json, and Supabase RLS policies for security misconfigurations and missing controls.</w:t>
            </w:r>
          </w:p>
        </w:tc>
        <w:tc>
          <w:tcPr>
            <w:tcW w:type="pct" w:w="20%"/>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Manual inspection</w:t>
            </w:r>
          </w:p>
        </w:tc>
      </w:tr>
    </w:tbl>
    <w:p>
      <w:pPr>
        <w:spacing w:after="120"/>
      </w:pPr>
      <w:r>
        <w:t xml:space="preserve"> </w:t>
      </w:r>
    </w:p>
    <w:p>
      <w:pPr>
        <w:spacing w:before="0" w:after="100" w:line="276" w:lineRule="auto"/>
      </w:pPr>
      <w:r>
        <w:rPr>
          <w:rFonts w:ascii="Calibri" w:cs="Calibri" w:eastAsia="Calibri" w:hAnsi="Calibri"/>
          <w:color w:val="1A202C"/>
          <w:sz w:val="21"/>
          <w:szCs w:val="21"/>
        </w:rPr>
        <w:t xml:space="preserve">The assessment is aligned with the OWASP Application Security Verification Standard (ASVS) Level 1 and covers all OWASP Top 10 2021 categories. It does not include dynamic/runtime testing (DAST) or physical infrastructure assessment. A DAST scan using OWASP ZAP is recommended as a pre-launch activity.</w:t>
      </w:r>
    </w:p>
    <w:p>
      <w:r>
        <w:br w:type="page"/>
      </w:r>
    </w:p>
    <w:p>
      <w:pPr>
        <w:pStyle w:val="Heading1"/>
        <w:shd w:color="1F3A6E" w:val="solid"/>
        <w:spacing w:before="280" w:after="0"/>
        <w:ind w:left="172" w:right="172"/>
        <w:jc w:val="left"/>
      </w:pPr>
      <w:r>
        <w:rPr>
          <w:rFonts w:ascii="Calibri" w:cs="Calibri" w:eastAsia="Calibri" w:hAnsi="Calibri"/>
          <w:b/>
          <w:bCs/>
          <w:color w:val="FFFFFF"/>
          <w:sz w:val="26"/>
          <w:szCs w:val="26"/>
        </w:rPr>
        <w:t xml:space="preserve">3.  Security Test Findings</w:t>
      </w:r>
    </w:p>
    <w:p>
      <w:pPr>
        <w:spacing w:after="60"/>
      </w:pPr>
      <w:r>
        <w:t xml:space="preserve"> </w:t>
      </w:r>
    </w:p>
    <w:p>
      <w:pPr>
        <w:spacing w:before="0" w:after="100" w:line="276" w:lineRule="auto"/>
      </w:pPr>
      <w:r>
        <w:rPr>
          <w:rFonts w:ascii="Calibri" w:cs="Calibri" w:eastAsia="Calibri" w:hAnsi="Calibri"/>
          <w:color w:val="1A202C"/>
          <w:sz w:val="21"/>
          <w:szCs w:val="21"/>
        </w:rPr>
        <w:t xml:space="preserve">The following section presents individual findings for each of the ten security test categories. Each finding includes a technical description, test result, evidence, and remediation recommendation.</w:t>
      </w:r>
    </w:p>
    <w:p>
      <w:pPr>
        <w:spacing w:after="120"/>
      </w:pPr>
      <w:r>
        <w:t xml:space="preserve"> </w:t>
      </w:r>
    </w:p>
    <w:tbl>
      <w:tblPr>
        <w:tblW w:type="pct" w:w="100%"/>
        <w:tblBorders>
          <w:top w:val="single" w:color="DDE2EC" w:sz="8"/>
          <w:left w:val="single" w:color="DDE2EC" w:sz="8"/>
          <w:bottom w:val="single" w:color="DDE2EC" w:sz="8"/>
          <w:right w:val="single" w:color="DDE2EC" w:sz="8"/>
          <w:insideH w:val="single" w:color="auto" w:sz="4"/>
          <w:insideV w:val="single" w:color="auto" w:sz="4"/>
        </w:tblBorders>
      </w:tblPr>
      <w:tblGrid>
        <w:gridCol w:w="100"/>
        <w:gridCol w:w="100"/>
        <w:gridCol w:w="100"/>
        <w:gridCol w:w="100"/>
      </w:tblGrid>
      <w:tr>
        <w:tc>
          <w:tcPr>
            <w:gridSpan w:val="4"/>
            <w:shd w:color="1F3A6E" w:val="solid"/>
            <w:tcMar>
              <w:top w:type="dxa" w:w="63500"/>
              <w:left w:type="dxa" w:w="127000"/>
              <w:bottom w:type="dxa" w:w="63500"/>
              <w:right w:type="dxa" w:w="127000"/>
            </w:tcMar>
          </w:tcPr>
          <w:p>
            <w:pPr>
              <w:spacing w:after="0"/>
            </w:pPr>
            <w:r>
              <w:rPr>
                <w:rFonts w:ascii="Calibri" w:cs="Calibri" w:eastAsia="Calibri" w:hAnsi="Calibri"/>
                <w:b/>
                <w:bCs/>
                <w:color w:val="D4A017"/>
                <w:sz w:val="20"/>
                <w:szCs w:val="20"/>
              </w:rPr>
              <w:t xml:space="preserve">SEC-001  ·  </w:t>
            </w:r>
            <w:r>
              <w:rPr>
                <w:rFonts w:ascii="Calibri" w:cs="Calibri" w:eastAsia="Calibri" w:hAnsi="Calibri"/>
                <w:b/>
                <w:bCs/>
                <w:color w:val="FFFFFF"/>
                <w:sz w:val="20"/>
                <w:szCs w:val="20"/>
              </w:rPr>
              <w:t xml:space="preserve">Cross-Site Scripting (XSS)</w:t>
            </w:r>
          </w:p>
        </w:tc>
      </w:tr>
      <w:tr>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Category</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CWE</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OWASP 2021</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Status / Risk</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Injection</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CWE-79</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A03:2021</w:t>
            </w:r>
          </w:p>
        </w:tc>
        <w:tc>
          <w:tcPr>
            <w:tcW w:type="pct" w:w="25%"/>
            <w:tcMar>
              <w:top w:type="dxa" w:w="38100"/>
              <w:left w:type="dxa" w:w="101600"/>
              <w:bottom w:type="dxa" w:w="38100"/>
              <w:right w:type="dxa" w:w="101600"/>
            </w:tcMar>
          </w:tcPr>
          <w:p>
            <w:pPr>
              <w:spacing w:after="0"/>
            </w:pPr>
            <w:r>
              <w:rPr>
                <w:rFonts w:ascii="Calibri" w:cs="Calibri" w:eastAsia="Calibri" w:hAnsi="Calibri"/>
                <w:b/>
                <w:bCs/>
                <w:color w:val="166534"/>
                <w:sz w:val="19"/>
                <w:szCs w:val="19"/>
              </w:rPr>
              <w:t xml:space="preserve">PASS</w:t>
            </w:r>
            <w:r>
              <w:rPr>
                <w:rFonts w:ascii="Calibri" w:cs="Calibri" w:eastAsia="Calibri" w:hAnsi="Calibri"/>
                <w:color w:val="4A5568"/>
                <w:sz w:val="19"/>
                <w:szCs w:val="19"/>
              </w:rPr>
              <w:t xml:space="preserve">  /  </w:t>
            </w:r>
            <w:r>
              <w:rPr>
                <w:rFonts w:ascii="Calibri" w:cs="Calibri" w:eastAsia="Calibri" w:hAnsi="Calibri"/>
                <w:b/>
                <w:bCs/>
                <w:color w:val="166534"/>
                <w:sz w:val="19"/>
                <w:szCs w:val="19"/>
              </w:rPr>
              <w:t xml:space="preserve">None</w:t>
            </w:r>
          </w:p>
        </w:tc>
      </w:tr>
      <w:tr>
        <w:tc>
          <w:tcPr>
            <w:gridSpan w:val="4"/>
            <w:tcMar>
              <w:top w:type="dxa" w:w="76200"/>
              <w:left w:type="dxa" w:w="127000"/>
              <w:bottom w:type="dxa" w:w="25400"/>
              <w:right w:type="dxa" w:w="127000"/>
            </w:tcMar>
          </w:tcPr>
          <w:p>
            <w:pPr>
              <w:spacing w:after="0"/>
            </w:pPr>
            <w:r>
              <w:rPr>
                <w:rFonts w:ascii="Calibri" w:cs="Calibri" w:eastAsia="Calibri" w:hAnsi="Calibri"/>
                <w:b/>
                <w:bCs/>
                <w:color w:val="1F3A6E"/>
                <w:sz w:val="19"/>
                <w:szCs w:val="19"/>
              </w:rPr>
              <w:t xml:space="preserve">Technical Description: </w:t>
            </w:r>
            <w:r>
              <w:rPr>
                <w:rFonts w:ascii="Calibri" w:cs="Calibri" w:eastAsia="Calibri" w:hAnsi="Calibri"/>
                <w:color w:val="1A202C"/>
                <w:sz w:val="19"/>
                <w:szCs w:val="19"/>
              </w:rPr>
              <w:t xml:space="preserve">Direct DOM manipulation patterns that bypass React's built-in content escaping — specifically dangerouslySetInnerHTML, innerHTML assignment, eval(), and document.write() — were scanned across all 89 source files.</w:t>
            </w:r>
          </w:p>
        </w:tc>
      </w:tr>
      <w:tr>
        <w:tc>
          <w:tcPr>
            <w:gridSpan w:val="4"/>
            <w:shd w:color="DCFCE7" w:val="solid"/>
            <w:tcMar>
              <w:top w:type="dxa" w:w="76200"/>
              <w:left w:type="dxa" w:w="127000"/>
              <w:bottom w:type="dxa" w:w="76200"/>
              <w:right w:type="dxa" w:w="127000"/>
            </w:tcMar>
          </w:tcPr>
          <w:p>
            <w:pPr>
              <w:spacing w:after="40"/>
            </w:pPr>
            <w:r>
              <w:rPr>
                <w:rFonts w:ascii="Calibri" w:cs="Calibri" w:eastAsia="Calibri" w:hAnsi="Calibri"/>
                <w:b/>
                <w:bCs/>
                <w:color w:val="166534"/>
                <w:sz w:val="19"/>
                <w:szCs w:val="19"/>
              </w:rPr>
              <w:t xml:space="preserve">Finding: </w:t>
            </w:r>
          </w:p>
          <w:p>
            <w:pPr>
              <w:spacing w:after="40"/>
            </w:pPr>
            <w:r>
              <w:rPr>
                <w:rFonts w:ascii="Calibri" w:cs="Calibri" w:eastAsia="Calibri" w:hAnsi="Calibri"/>
                <w:color w:val="166534"/>
                <w:sz w:val="19"/>
                <w:szCs w:val="19"/>
              </w:rPr>
              <w:t xml:space="preserve">No active XSS vectors found. Two separate issues were identified and remediated during this audit:</w:t>
            </w:r>
          </w:p>
          <w:p>
            <w:pPr>
              <w:spacing w:after="40"/>
            </w:pPr>
            <w:r>
              <w:rPr>
                <w:rFonts w:ascii="Calibri" w:cs="Calibri" w:eastAsia="Calibri" w:hAnsi="Calibri"/>
                <w:color w:val="166534"/>
                <w:sz w:val="19"/>
                <w:szCs w:val="19"/>
              </w:rPr>
              <w:t xml:space="preserve">  1. chart.tsx (shadcn/ui component) used dangerouslySetInnerHTML to inject CSS custom properties. Replaced with a useRef + useEffect approach writing to element.textContent — which is never parsed as HTML.</w:t>
            </w:r>
          </w:p>
          <w:p>
            <w:pPr>
              <w:spacing w:after="40"/>
            </w:pPr>
            <w:r>
              <w:rPr>
                <w:rFonts w:ascii="Calibri" w:cs="Calibri" w:eastAsia="Calibri" w:hAnsi="Calibri"/>
                <w:color w:val="166534"/>
                <w:sz w:val="19"/>
                <w:szCs w:val="19"/>
              </w:rPr>
              <w:t xml:space="preserve">  2. exportReport.ts used the deprecated document.write() API to initialise a print pop-up. Replaced with a Blob URL (URL.createObjectURL) approach — no DOM write required.</w:t>
            </w:r>
          </w:p>
        </w:tc>
      </w:tr>
      <w:tr>
        <w:tc>
          <w:tcPr>
            <w:gridSpan w:val="4"/>
            <w:tcMar>
              <w:top w:type="dxa" w:w="76200"/>
              <w:left w:type="dxa" w:w="127000"/>
              <w:bottom w:type="dxa" w:w="127000"/>
              <w:right w:type="dxa" w:w="127000"/>
            </w:tcMar>
          </w:tcPr>
          <w:p>
            <w:pPr>
              <w:spacing w:after="0"/>
            </w:pPr>
            <w:r>
              <w:rPr>
                <w:rFonts w:ascii="Calibri" w:cs="Calibri" w:eastAsia="Calibri" w:hAnsi="Calibri"/>
                <w:b/>
                <w:bCs/>
                <w:color w:val="1F3A6E"/>
                <w:sz w:val="19"/>
                <w:szCs w:val="19"/>
              </w:rPr>
              <w:t xml:space="preserve">Recommendation: </w:t>
            </w:r>
            <w:r>
              <w:rPr>
                <w:rFonts w:ascii="Calibri" w:cs="Calibri" w:eastAsia="Calibri" w:hAnsi="Calibri"/>
                <w:color w:val="1A202C"/>
                <w:sz w:val="19"/>
                <w:szCs w:val="19"/>
              </w:rPr>
              <w:t xml:space="preserve">React JSX escaping provides the primary XSS defence. Continue avoiding dangerouslySetInnerHTML. If external HTML must be rendered in future, use DOMPurify to sanitise before injection.</w:t>
            </w:r>
          </w:p>
        </w:tc>
      </w:tr>
      <w:tr>
        <w:tc>
          <w:tcPr>
            <w:gridSpan w:val="4"/>
            <w:tcBorders>
              <w:top w:val="none" w:color="auto" w:sz="0"/>
              <w:left w:val="none" w:color="auto" w:sz="0"/>
              <w:bottom w:val="none" w:color="auto" w:sz="0"/>
              <w:right w:val="none" w:color="auto" w:sz="0"/>
            </w:tcBorders>
            <w:tcMar>
              <w:top w:type="dxa" w:w="76200"/>
            </w:tcMar>
          </w:tcPr>
          <w:p>
            <w:pPr>
              <w:spacing w:after="0"/>
            </w:pPr>
            <w:r>
              <w:t xml:space="preserve"/>
            </w:r>
          </w:p>
        </w:tc>
      </w:tr>
      <w:tr>
        <w:tc>
          <w:tcPr>
            <w:gridSpan w:val="4"/>
            <w:shd w:color="1F3A6E" w:val="solid"/>
            <w:tcMar>
              <w:top w:type="dxa" w:w="63500"/>
              <w:left w:type="dxa" w:w="127000"/>
              <w:bottom w:type="dxa" w:w="63500"/>
              <w:right w:type="dxa" w:w="127000"/>
            </w:tcMar>
          </w:tcPr>
          <w:p>
            <w:pPr>
              <w:spacing w:after="0"/>
            </w:pPr>
            <w:r>
              <w:rPr>
                <w:rFonts w:ascii="Calibri" w:cs="Calibri" w:eastAsia="Calibri" w:hAnsi="Calibri"/>
                <w:b/>
                <w:bCs/>
                <w:color w:val="D4A017"/>
                <w:sz w:val="20"/>
                <w:szCs w:val="20"/>
              </w:rPr>
              <w:t xml:space="preserve">SEC-002  ·  </w:t>
            </w:r>
            <w:r>
              <w:rPr>
                <w:rFonts w:ascii="Calibri" w:cs="Calibri" w:eastAsia="Calibri" w:hAnsi="Calibri"/>
                <w:b/>
                <w:bCs/>
                <w:color w:val="FFFFFF"/>
                <w:sz w:val="20"/>
                <w:szCs w:val="20"/>
              </w:rPr>
              <w:t xml:space="preserve">Hardcoded Credentials &amp; Secrets</w:t>
            </w:r>
          </w:p>
        </w:tc>
      </w:tr>
      <w:tr>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Category</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CWE</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OWASP 2021</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Status / Risk</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Cryptographic Failures</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CWE-798</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A02:2021</w:t>
            </w:r>
          </w:p>
        </w:tc>
        <w:tc>
          <w:tcPr>
            <w:tcW w:type="pct" w:w="25%"/>
            <w:tcMar>
              <w:top w:type="dxa" w:w="38100"/>
              <w:left w:type="dxa" w:w="101600"/>
              <w:bottom w:type="dxa" w:w="38100"/>
              <w:right w:type="dxa" w:w="101600"/>
            </w:tcMar>
          </w:tcPr>
          <w:p>
            <w:pPr>
              <w:spacing w:after="0"/>
            </w:pPr>
            <w:r>
              <w:rPr>
                <w:rFonts w:ascii="Calibri" w:cs="Calibri" w:eastAsia="Calibri" w:hAnsi="Calibri"/>
                <w:b/>
                <w:bCs/>
                <w:color w:val="166534"/>
                <w:sz w:val="19"/>
                <w:szCs w:val="19"/>
              </w:rPr>
              <w:t xml:space="preserve">PASS</w:t>
            </w:r>
            <w:r>
              <w:rPr>
                <w:rFonts w:ascii="Calibri" w:cs="Calibri" w:eastAsia="Calibri" w:hAnsi="Calibri"/>
                <w:color w:val="4A5568"/>
                <w:sz w:val="19"/>
                <w:szCs w:val="19"/>
              </w:rPr>
              <w:t xml:space="preserve">  /  </w:t>
            </w:r>
            <w:r>
              <w:rPr>
                <w:rFonts w:ascii="Calibri" w:cs="Calibri" w:eastAsia="Calibri" w:hAnsi="Calibri"/>
                <w:b/>
                <w:bCs/>
                <w:color w:val="166534"/>
                <w:sz w:val="19"/>
                <w:szCs w:val="19"/>
              </w:rPr>
              <w:t xml:space="preserve">None</w:t>
            </w:r>
          </w:p>
        </w:tc>
      </w:tr>
      <w:tr>
        <w:tc>
          <w:tcPr>
            <w:gridSpan w:val="4"/>
            <w:tcMar>
              <w:top w:type="dxa" w:w="76200"/>
              <w:left w:type="dxa" w:w="127000"/>
              <w:bottom w:type="dxa" w:w="25400"/>
              <w:right w:type="dxa" w:w="127000"/>
            </w:tcMar>
          </w:tcPr>
          <w:p>
            <w:pPr>
              <w:spacing w:after="0"/>
            </w:pPr>
            <w:r>
              <w:rPr>
                <w:rFonts w:ascii="Calibri" w:cs="Calibri" w:eastAsia="Calibri" w:hAnsi="Calibri"/>
                <w:b/>
                <w:bCs/>
                <w:color w:val="1F3A6E"/>
                <w:sz w:val="19"/>
                <w:szCs w:val="19"/>
              </w:rPr>
              <w:t xml:space="preserve">Technical Description: </w:t>
            </w:r>
            <w:r>
              <w:rPr>
                <w:rFonts w:ascii="Calibri" w:cs="Calibri" w:eastAsia="Calibri" w:hAnsi="Calibri"/>
                <w:color w:val="1A202C"/>
                <w:sz w:val="19"/>
                <w:szCs w:val="19"/>
              </w:rPr>
              <w:t xml:space="preserve">Full scan of all source files for patterns matching API keys (sk-ant-api, Supabase JWT), hardcoded passwords, and embedded tokens.</w:t>
            </w:r>
          </w:p>
        </w:tc>
      </w:tr>
      <w:tr>
        <w:tc>
          <w:tcPr>
            <w:gridSpan w:val="4"/>
            <w:shd w:color="DCFCE7" w:val="solid"/>
            <w:tcMar>
              <w:top w:type="dxa" w:w="76200"/>
              <w:left w:type="dxa" w:w="127000"/>
              <w:bottom w:type="dxa" w:w="76200"/>
              <w:right w:type="dxa" w:w="127000"/>
            </w:tcMar>
          </w:tcPr>
          <w:p>
            <w:pPr>
              <w:spacing w:after="40"/>
            </w:pPr>
            <w:r>
              <w:rPr>
                <w:rFonts w:ascii="Calibri" w:cs="Calibri" w:eastAsia="Calibri" w:hAnsi="Calibri"/>
                <w:b/>
                <w:bCs/>
                <w:color w:val="166534"/>
                <w:sz w:val="19"/>
                <w:szCs w:val="19"/>
              </w:rPr>
              <w:t xml:space="preserve">Finding: </w:t>
            </w:r>
          </w:p>
          <w:p>
            <w:pPr>
              <w:spacing w:after="40"/>
            </w:pPr>
            <w:r>
              <w:rPr>
                <w:rFonts w:ascii="Calibri" w:cs="Calibri" w:eastAsia="Calibri" w:hAnsi="Calibri"/>
                <w:color w:val="166534"/>
                <w:sz w:val="19"/>
                <w:szCs w:val="19"/>
              </w:rPr>
              <w:t xml:space="preserve">No hardcoded credentials found in any source file. All secrets are loaded at runtime via environment variables (VITE_SUPABASE_URL, VITE_SUPABASE_ANON_KEY, RESEND_API_KEY, SMARTSHEET_API_TOKEN, etc.). Git history inspection confirmed no secret has ever been committed. .env.local is correctly gitignored.</w:t>
            </w:r>
          </w:p>
        </w:tc>
      </w:tr>
      <w:tr>
        <w:tc>
          <w:tcPr>
            <w:gridSpan w:val="4"/>
            <w:tcMar>
              <w:top w:type="dxa" w:w="76200"/>
              <w:left w:type="dxa" w:w="127000"/>
              <w:bottom w:type="dxa" w:w="127000"/>
              <w:right w:type="dxa" w:w="127000"/>
            </w:tcMar>
          </w:tcPr>
          <w:p>
            <w:pPr>
              <w:spacing w:after="0"/>
            </w:pPr>
            <w:r>
              <w:rPr>
                <w:rFonts w:ascii="Calibri" w:cs="Calibri" w:eastAsia="Calibri" w:hAnsi="Calibri"/>
                <w:b/>
                <w:bCs/>
                <w:color w:val="1F3A6E"/>
                <w:sz w:val="19"/>
                <w:szCs w:val="19"/>
              </w:rPr>
              <w:t xml:space="preserve">Recommendation: </w:t>
            </w:r>
            <w:r>
              <w:rPr>
                <w:rFonts w:ascii="Calibri" w:cs="Calibri" w:eastAsia="Calibri" w:hAnsi="Calibri"/>
                <w:color w:val="1A202C"/>
                <w:sz w:val="19"/>
                <w:szCs w:val="19"/>
              </w:rPr>
              <w:t xml:space="preserve">Maintain the current practice of environment variable injection. Implement a pre-commit hook (e.g. git-secrets or Husky + detect-secrets) to prevent accidental credential commits.</w:t>
            </w:r>
          </w:p>
        </w:tc>
      </w:tr>
      <w:tr>
        <w:tc>
          <w:tcPr>
            <w:gridSpan w:val="4"/>
            <w:tcBorders>
              <w:top w:val="none" w:color="auto" w:sz="0"/>
              <w:left w:val="none" w:color="auto" w:sz="0"/>
              <w:bottom w:val="none" w:color="auto" w:sz="0"/>
              <w:right w:val="none" w:color="auto" w:sz="0"/>
            </w:tcBorders>
            <w:tcMar>
              <w:top w:type="dxa" w:w="76200"/>
            </w:tcMar>
          </w:tcPr>
          <w:p>
            <w:pPr>
              <w:spacing w:after="0"/>
            </w:pPr>
            <w:r>
              <w:t xml:space="preserve"/>
            </w:r>
          </w:p>
        </w:tc>
      </w:tr>
      <w:tr>
        <w:tc>
          <w:tcPr>
            <w:gridSpan w:val="4"/>
            <w:shd w:color="1F3A6E" w:val="solid"/>
            <w:tcMar>
              <w:top w:type="dxa" w:w="63500"/>
              <w:left w:type="dxa" w:w="127000"/>
              <w:bottom w:type="dxa" w:w="63500"/>
              <w:right w:type="dxa" w:w="127000"/>
            </w:tcMar>
          </w:tcPr>
          <w:p>
            <w:pPr>
              <w:spacing w:after="0"/>
            </w:pPr>
            <w:r>
              <w:rPr>
                <w:rFonts w:ascii="Calibri" w:cs="Calibri" w:eastAsia="Calibri" w:hAnsi="Calibri"/>
                <w:b/>
                <w:bCs/>
                <w:color w:val="D4A017"/>
                <w:sz w:val="20"/>
                <w:szCs w:val="20"/>
              </w:rPr>
              <w:t xml:space="preserve">SEC-003  ·  </w:t>
            </w:r>
            <w:r>
              <w:rPr>
                <w:rFonts w:ascii="Calibri" w:cs="Calibri" w:eastAsia="Calibri" w:hAnsi="Calibri"/>
                <w:b/>
                <w:bCs/>
                <w:color w:val="FFFFFF"/>
                <w:sz w:val="20"/>
                <w:szCs w:val="20"/>
              </w:rPr>
              <w:t xml:space="preserve">Insecure HTTP Connections</w:t>
            </w:r>
          </w:p>
        </w:tc>
      </w:tr>
      <w:tr>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Category</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CWE</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OWASP 2021</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Status / Risk</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Cryptographic Failures</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CWE-319</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A02:2021</w:t>
            </w:r>
          </w:p>
        </w:tc>
        <w:tc>
          <w:tcPr>
            <w:tcW w:type="pct" w:w="25%"/>
            <w:tcMar>
              <w:top w:type="dxa" w:w="38100"/>
              <w:left w:type="dxa" w:w="101600"/>
              <w:bottom w:type="dxa" w:w="38100"/>
              <w:right w:type="dxa" w:w="101600"/>
            </w:tcMar>
          </w:tcPr>
          <w:p>
            <w:pPr>
              <w:spacing w:after="0"/>
            </w:pPr>
            <w:r>
              <w:rPr>
                <w:rFonts w:ascii="Calibri" w:cs="Calibri" w:eastAsia="Calibri" w:hAnsi="Calibri"/>
                <w:b/>
                <w:bCs/>
                <w:color w:val="166534"/>
                <w:sz w:val="19"/>
                <w:szCs w:val="19"/>
              </w:rPr>
              <w:t xml:space="preserve">PASS</w:t>
            </w:r>
            <w:r>
              <w:rPr>
                <w:rFonts w:ascii="Calibri" w:cs="Calibri" w:eastAsia="Calibri" w:hAnsi="Calibri"/>
                <w:color w:val="4A5568"/>
                <w:sz w:val="19"/>
                <w:szCs w:val="19"/>
              </w:rPr>
              <w:t xml:space="preserve">  /  </w:t>
            </w:r>
            <w:r>
              <w:rPr>
                <w:rFonts w:ascii="Calibri" w:cs="Calibri" w:eastAsia="Calibri" w:hAnsi="Calibri"/>
                <w:b/>
                <w:bCs/>
                <w:color w:val="166534"/>
                <w:sz w:val="19"/>
                <w:szCs w:val="19"/>
              </w:rPr>
              <w:t xml:space="preserve">None</w:t>
            </w:r>
          </w:p>
        </w:tc>
      </w:tr>
      <w:tr>
        <w:tc>
          <w:tcPr>
            <w:gridSpan w:val="4"/>
            <w:tcMar>
              <w:top w:type="dxa" w:w="76200"/>
              <w:left w:type="dxa" w:w="127000"/>
              <w:bottom w:type="dxa" w:w="25400"/>
              <w:right w:type="dxa" w:w="127000"/>
            </w:tcMar>
          </w:tcPr>
          <w:p>
            <w:pPr>
              <w:spacing w:after="0"/>
            </w:pPr>
            <w:r>
              <w:rPr>
                <w:rFonts w:ascii="Calibri" w:cs="Calibri" w:eastAsia="Calibri" w:hAnsi="Calibri"/>
                <w:b/>
                <w:bCs/>
                <w:color w:val="1F3A6E"/>
                <w:sz w:val="19"/>
                <w:szCs w:val="19"/>
              </w:rPr>
              <w:t xml:space="preserve">Technical Description: </w:t>
            </w:r>
            <w:r>
              <w:rPr>
                <w:rFonts w:ascii="Calibri" w:cs="Calibri" w:eastAsia="Calibri" w:hAnsi="Calibri"/>
                <w:color w:val="1A202C"/>
                <w:sz w:val="19"/>
                <w:szCs w:val="19"/>
              </w:rPr>
              <w:t xml:space="preserve">All outbound external URLs were scanned for http:// usage (excluding localhost development entries and SVG/XML xmlns namespace declarations, which are not network connections).</w:t>
            </w:r>
          </w:p>
        </w:tc>
      </w:tr>
      <w:tr>
        <w:tc>
          <w:tcPr>
            <w:gridSpan w:val="4"/>
            <w:shd w:color="DCFCE7" w:val="solid"/>
            <w:tcMar>
              <w:top w:type="dxa" w:w="76200"/>
              <w:left w:type="dxa" w:w="127000"/>
              <w:bottom w:type="dxa" w:w="76200"/>
              <w:right w:type="dxa" w:w="127000"/>
            </w:tcMar>
          </w:tcPr>
          <w:p>
            <w:pPr>
              <w:spacing w:after="40"/>
            </w:pPr>
            <w:r>
              <w:rPr>
                <w:rFonts w:ascii="Calibri" w:cs="Calibri" w:eastAsia="Calibri" w:hAnsi="Calibri"/>
                <w:b/>
                <w:bCs/>
                <w:color w:val="166534"/>
                <w:sz w:val="19"/>
                <w:szCs w:val="19"/>
              </w:rPr>
              <w:t xml:space="preserve">Finding: </w:t>
            </w:r>
          </w:p>
          <w:p>
            <w:pPr>
              <w:spacing w:after="40"/>
            </w:pPr>
            <w:r>
              <w:rPr>
                <w:rFonts w:ascii="Calibri" w:cs="Calibri" w:eastAsia="Calibri" w:hAnsi="Calibri"/>
                <w:color w:val="166534"/>
                <w:sz w:val="19"/>
                <w:szCs w:val="19"/>
              </w:rPr>
              <w:t xml:space="preserve">No insecure external HTTP connections found. All API integrations use HTTPS: Supabase (dqvdnyxkkletgkkpicdg.supabase.co), Anthropic (api.anthropic.com), Groq (api.groq.com), and Resend (smtp.resend.com). CORS allowlists include http://localhost for local development only — this is correct and expected.</w:t>
            </w:r>
          </w:p>
        </w:tc>
      </w:tr>
      <w:tr>
        <w:tc>
          <w:tcPr>
            <w:gridSpan w:val="4"/>
            <w:tcMar>
              <w:top w:type="dxa" w:w="76200"/>
              <w:left w:type="dxa" w:w="127000"/>
              <w:bottom w:type="dxa" w:w="127000"/>
              <w:right w:type="dxa" w:w="127000"/>
            </w:tcMar>
          </w:tcPr>
          <w:p>
            <w:pPr>
              <w:spacing w:after="0"/>
            </w:pPr>
            <w:r>
              <w:rPr>
                <w:rFonts w:ascii="Calibri" w:cs="Calibri" w:eastAsia="Calibri" w:hAnsi="Calibri"/>
                <w:b/>
                <w:bCs/>
                <w:color w:val="1F3A6E"/>
                <w:sz w:val="19"/>
                <w:szCs w:val="19"/>
              </w:rPr>
              <w:t xml:space="preserve">Recommendation: </w:t>
            </w:r>
            <w:r>
              <w:rPr>
                <w:rFonts w:ascii="Calibri" w:cs="Calibri" w:eastAsia="Calibri" w:hAnsi="Calibri"/>
                <w:color w:val="1A202C"/>
                <w:sz w:val="19"/>
                <w:szCs w:val="19"/>
              </w:rPr>
              <w:t xml:space="preserve">HSTS headers are now configured (max-age=31536000; includeSubDomains; preload), enforcing HTTPS at the browser level for all returning visitors.</w:t>
            </w:r>
          </w:p>
        </w:tc>
      </w:tr>
      <w:tr>
        <w:tc>
          <w:tcPr>
            <w:gridSpan w:val="4"/>
            <w:tcBorders>
              <w:top w:val="none" w:color="auto" w:sz="0"/>
              <w:left w:val="none" w:color="auto" w:sz="0"/>
              <w:bottom w:val="none" w:color="auto" w:sz="0"/>
              <w:right w:val="none" w:color="auto" w:sz="0"/>
            </w:tcBorders>
            <w:tcMar>
              <w:top w:type="dxa" w:w="76200"/>
            </w:tcMar>
          </w:tcPr>
          <w:p>
            <w:pPr>
              <w:spacing w:after="0"/>
            </w:pPr>
            <w:r>
              <w:t xml:space="preserve"/>
            </w:r>
          </w:p>
        </w:tc>
      </w:tr>
      <w:tr>
        <w:tc>
          <w:tcPr>
            <w:gridSpan w:val="4"/>
            <w:shd w:color="1F3A6E" w:val="solid"/>
            <w:tcMar>
              <w:top w:type="dxa" w:w="63500"/>
              <w:left w:type="dxa" w:w="127000"/>
              <w:bottom w:type="dxa" w:w="63500"/>
              <w:right w:type="dxa" w:w="127000"/>
            </w:tcMar>
          </w:tcPr>
          <w:p>
            <w:pPr>
              <w:spacing w:after="0"/>
            </w:pPr>
            <w:r>
              <w:rPr>
                <w:rFonts w:ascii="Calibri" w:cs="Calibri" w:eastAsia="Calibri" w:hAnsi="Calibri"/>
                <w:b/>
                <w:bCs/>
                <w:color w:val="D4A017"/>
                <w:sz w:val="20"/>
                <w:szCs w:val="20"/>
              </w:rPr>
              <w:t xml:space="preserve">SEC-004  ·  </w:t>
            </w:r>
            <w:r>
              <w:rPr>
                <w:rFonts w:ascii="Calibri" w:cs="Calibri" w:eastAsia="Calibri" w:hAnsi="Calibri"/>
                <w:b/>
                <w:bCs/>
                <w:color w:val="FFFFFF"/>
                <w:sz w:val="20"/>
                <w:szCs w:val="20"/>
              </w:rPr>
              <w:t xml:space="preserve">Sensitive Data in Console Output</w:t>
            </w:r>
          </w:p>
        </w:tc>
      </w:tr>
      <w:tr>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Category</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CWE</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OWASP 2021</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Status / Risk</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Security Logging &amp; Monitoring Failures</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CWE-532</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A09:2021</w:t>
            </w:r>
          </w:p>
        </w:tc>
        <w:tc>
          <w:tcPr>
            <w:tcW w:type="pct" w:w="25%"/>
            <w:tcMar>
              <w:top w:type="dxa" w:w="38100"/>
              <w:left w:type="dxa" w:w="101600"/>
              <w:bottom w:type="dxa" w:w="38100"/>
              <w:right w:type="dxa" w:w="101600"/>
            </w:tcMar>
          </w:tcPr>
          <w:p>
            <w:pPr>
              <w:spacing w:after="0"/>
            </w:pPr>
            <w:r>
              <w:rPr>
                <w:rFonts w:ascii="Calibri" w:cs="Calibri" w:eastAsia="Calibri" w:hAnsi="Calibri"/>
                <w:b/>
                <w:bCs/>
                <w:color w:val="166534"/>
                <w:sz w:val="19"/>
                <w:szCs w:val="19"/>
              </w:rPr>
              <w:t xml:space="preserve">PASS</w:t>
            </w:r>
            <w:r>
              <w:rPr>
                <w:rFonts w:ascii="Calibri" w:cs="Calibri" w:eastAsia="Calibri" w:hAnsi="Calibri"/>
                <w:color w:val="4A5568"/>
                <w:sz w:val="19"/>
                <w:szCs w:val="19"/>
              </w:rPr>
              <w:t xml:space="preserve">  /  </w:t>
            </w:r>
            <w:r>
              <w:rPr>
                <w:rFonts w:ascii="Calibri" w:cs="Calibri" w:eastAsia="Calibri" w:hAnsi="Calibri"/>
                <w:b/>
                <w:bCs/>
                <w:color w:val="166534"/>
                <w:sz w:val="19"/>
                <w:szCs w:val="19"/>
              </w:rPr>
              <w:t xml:space="preserve">None</w:t>
            </w:r>
          </w:p>
        </w:tc>
      </w:tr>
      <w:tr>
        <w:tc>
          <w:tcPr>
            <w:gridSpan w:val="4"/>
            <w:tcMar>
              <w:top w:type="dxa" w:w="76200"/>
              <w:left w:type="dxa" w:w="127000"/>
              <w:bottom w:type="dxa" w:w="25400"/>
              <w:right w:type="dxa" w:w="127000"/>
            </w:tcMar>
          </w:tcPr>
          <w:p>
            <w:pPr>
              <w:spacing w:after="0"/>
            </w:pPr>
            <w:r>
              <w:rPr>
                <w:rFonts w:ascii="Calibri" w:cs="Calibri" w:eastAsia="Calibri" w:hAnsi="Calibri"/>
                <w:b/>
                <w:bCs/>
                <w:color w:val="1F3A6E"/>
                <w:sz w:val="19"/>
                <w:szCs w:val="19"/>
              </w:rPr>
              <w:t xml:space="preserve">Technical Description: </w:t>
            </w:r>
            <w:r>
              <w:rPr>
                <w:rFonts w:ascii="Calibri" w:cs="Calibri" w:eastAsia="Calibri" w:hAnsi="Calibri"/>
                <w:color w:val="1A202C"/>
                <w:sz w:val="19"/>
                <w:szCs w:val="19"/>
              </w:rPr>
              <w:t xml:space="preserve">Console.log/warn/error statements were scanned for output patterns containing auth tokens, passwords, API keys, or secret values.</w:t>
            </w:r>
          </w:p>
        </w:tc>
      </w:tr>
      <w:tr>
        <w:tc>
          <w:tcPr>
            <w:gridSpan w:val="4"/>
            <w:shd w:color="DCFCE7" w:val="solid"/>
            <w:tcMar>
              <w:top w:type="dxa" w:w="76200"/>
              <w:left w:type="dxa" w:w="127000"/>
              <w:bottom w:type="dxa" w:w="76200"/>
              <w:right w:type="dxa" w:w="127000"/>
            </w:tcMar>
          </w:tcPr>
          <w:p>
            <w:pPr>
              <w:spacing w:after="40"/>
            </w:pPr>
            <w:r>
              <w:rPr>
                <w:rFonts w:ascii="Calibri" w:cs="Calibri" w:eastAsia="Calibri" w:hAnsi="Calibri"/>
                <w:b/>
                <w:bCs/>
                <w:color w:val="166534"/>
                <w:sz w:val="19"/>
                <w:szCs w:val="19"/>
              </w:rPr>
              <w:t xml:space="preserve">Finding: </w:t>
            </w:r>
          </w:p>
          <w:p>
            <w:pPr>
              <w:spacing w:after="40"/>
            </w:pPr>
            <w:r>
              <w:rPr>
                <w:rFonts w:ascii="Calibri" w:cs="Calibri" w:eastAsia="Calibri" w:hAnsi="Calibri"/>
                <w:color w:val="166534"/>
                <w:sz w:val="19"/>
                <w:szCs w:val="19"/>
              </w:rPr>
              <w:t xml:space="preserve">No sensitive data detected in console output. One historical issue (contact.ts logging full PII: name, email, company, message to Netlify dashboard logs) was identified and remediated. The function now logs only a non-identifying submission reference ID and audience category.</w:t>
            </w:r>
          </w:p>
        </w:tc>
      </w:tr>
      <w:tr>
        <w:tc>
          <w:tcPr>
            <w:gridSpan w:val="4"/>
            <w:tcMar>
              <w:top w:type="dxa" w:w="76200"/>
              <w:left w:type="dxa" w:w="127000"/>
              <w:bottom w:type="dxa" w:w="127000"/>
              <w:right w:type="dxa" w:w="127000"/>
            </w:tcMar>
          </w:tcPr>
          <w:p>
            <w:pPr>
              <w:spacing w:after="0"/>
            </w:pPr>
            <w:r>
              <w:rPr>
                <w:rFonts w:ascii="Calibri" w:cs="Calibri" w:eastAsia="Calibri" w:hAnsi="Calibri"/>
                <w:b/>
                <w:bCs/>
                <w:color w:val="1F3A6E"/>
                <w:sz w:val="19"/>
                <w:szCs w:val="19"/>
              </w:rPr>
              <w:t xml:space="preserve">Recommendation: </w:t>
            </w:r>
            <w:r>
              <w:rPr>
                <w:rFonts w:ascii="Calibri" w:cs="Calibri" w:eastAsia="Calibri" w:hAnsi="Calibri"/>
                <w:color w:val="1A202C"/>
                <w:sz w:val="19"/>
                <w:szCs w:val="19"/>
              </w:rPr>
              <w:t xml:space="preserve">Consider adding a production build step that strips all console.log calls (Vite's esbuild drop: ["console"] option) to prevent any debug information leakage in production.</w:t>
            </w:r>
          </w:p>
        </w:tc>
      </w:tr>
      <w:tr>
        <w:tc>
          <w:tcPr>
            <w:gridSpan w:val="4"/>
            <w:tcBorders>
              <w:top w:val="none" w:color="auto" w:sz="0"/>
              <w:left w:val="none" w:color="auto" w:sz="0"/>
              <w:bottom w:val="none" w:color="auto" w:sz="0"/>
              <w:right w:val="none" w:color="auto" w:sz="0"/>
            </w:tcBorders>
            <w:tcMar>
              <w:top w:type="dxa" w:w="76200"/>
            </w:tcMar>
          </w:tcPr>
          <w:p>
            <w:pPr>
              <w:spacing w:after="0"/>
            </w:pPr>
            <w:r>
              <w:t xml:space="preserve"/>
            </w:r>
          </w:p>
        </w:tc>
      </w:tr>
      <w:tr>
        <w:tc>
          <w:tcPr>
            <w:gridSpan w:val="4"/>
            <w:shd w:color="1F3A6E" w:val="solid"/>
            <w:tcMar>
              <w:top w:type="dxa" w:w="63500"/>
              <w:left w:type="dxa" w:w="127000"/>
              <w:bottom w:type="dxa" w:w="63500"/>
              <w:right w:type="dxa" w:w="127000"/>
            </w:tcMar>
          </w:tcPr>
          <w:p>
            <w:pPr>
              <w:spacing w:after="0"/>
            </w:pPr>
            <w:r>
              <w:rPr>
                <w:rFonts w:ascii="Calibri" w:cs="Calibri" w:eastAsia="Calibri" w:hAnsi="Calibri"/>
                <w:b/>
                <w:bCs/>
                <w:color w:val="D4A017"/>
                <w:sz w:val="20"/>
                <w:szCs w:val="20"/>
              </w:rPr>
              <w:t xml:space="preserve">SEC-005  ·  </w:t>
            </w:r>
            <w:r>
              <w:rPr>
                <w:rFonts w:ascii="Calibri" w:cs="Calibri" w:eastAsia="Calibri" w:hAnsi="Calibri"/>
                <w:b/>
                <w:bCs/>
                <w:color w:val="FFFFFF"/>
                <w:sz w:val="20"/>
                <w:szCs w:val="20"/>
              </w:rPr>
              <w:t xml:space="preserve">Sensitive Data in Browser Storage</w:t>
            </w:r>
          </w:p>
        </w:tc>
      </w:tr>
      <w:tr>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Category</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CWE</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OWASP 2021</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Status / Risk</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Cryptographic Failures</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CWE-922</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A02:2021</w:t>
            </w:r>
          </w:p>
        </w:tc>
        <w:tc>
          <w:tcPr>
            <w:tcW w:type="pct" w:w="25%"/>
            <w:tcMar>
              <w:top w:type="dxa" w:w="38100"/>
              <w:left w:type="dxa" w:w="101600"/>
              <w:bottom w:type="dxa" w:w="38100"/>
              <w:right w:type="dxa" w:w="101600"/>
            </w:tcMar>
          </w:tcPr>
          <w:p>
            <w:pPr>
              <w:spacing w:after="0"/>
            </w:pPr>
            <w:r>
              <w:rPr>
                <w:rFonts w:ascii="Calibri" w:cs="Calibri" w:eastAsia="Calibri" w:hAnsi="Calibri"/>
                <w:b/>
                <w:bCs/>
                <w:color w:val="166534"/>
                <w:sz w:val="19"/>
                <w:szCs w:val="19"/>
              </w:rPr>
              <w:t xml:space="preserve">PASS</w:t>
            </w:r>
            <w:r>
              <w:rPr>
                <w:rFonts w:ascii="Calibri" w:cs="Calibri" w:eastAsia="Calibri" w:hAnsi="Calibri"/>
                <w:color w:val="4A5568"/>
                <w:sz w:val="19"/>
                <w:szCs w:val="19"/>
              </w:rPr>
              <w:t xml:space="preserve">  /  </w:t>
            </w:r>
            <w:r>
              <w:rPr>
                <w:rFonts w:ascii="Calibri" w:cs="Calibri" w:eastAsia="Calibri" w:hAnsi="Calibri"/>
                <w:b/>
                <w:bCs/>
                <w:color w:val="166534"/>
                <w:sz w:val="19"/>
                <w:szCs w:val="19"/>
              </w:rPr>
              <w:t xml:space="preserve">None</w:t>
            </w:r>
          </w:p>
        </w:tc>
      </w:tr>
      <w:tr>
        <w:tc>
          <w:tcPr>
            <w:gridSpan w:val="4"/>
            <w:tcMar>
              <w:top w:type="dxa" w:w="76200"/>
              <w:left w:type="dxa" w:w="127000"/>
              <w:bottom w:type="dxa" w:w="25400"/>
              <w:right w:type="dxa" w:w="127000"/>
            </w:tcMar>
          </w:tcPr>
          <w:p>
            <w:pPr>
              <w:spacing w:after="0"/>
            </w:pPr>
            <w:r>
              <w:rPr>
                <w:rFonts w:ascii="Calibri" w:cs="Calibri" w:eastAsia="Calibri" w:hAnsi="Calibri"/>
                <w:b/>
                <w:bCs/>
                <w:color w:val="1F3A6E"/>
                <w:sz w:val="19"/>
                <w:szCs w:val="19"/>
              </w:rPr>
              <w:t xml:space="preserve">Technical Description: </w:t>
            </w:r>
            <w:r>
              <w:rPr>
                <w:rFonts w:ascii="Calibri" w:cs="Calibri" w:eastAsia="Calibri" w:hAnsi="Calibri"/>
                <w:color w:val="1A202C"/>
                <w:sz w:val="19"/>
                <w:szCs w:val="19"/>
              </w:rPr>
              <w:t xml:space="preserve">localStorage and sessionStorage usage was scanned for storage of authentication tokens, passwords, or sensitive session data.</w:t>
            </w:r>
          </w:p>
        </w:tc>
      </w:tr>
      <w:tr>
        <w:tc>
          <w:tcPr>
            <w:gridSpan w:val="4"/>
            <w:shd w:color="DCFCE7" w:val="solid"/>
            <w:tcMar>
              <w:top w:type="dxa" w:w="76200"/>
              <w:left w:type="dxa" w:w="127000"/>
              <w:bottom w:type="dxa" w:w="76200"/>
              <w:right w:type="dxa" w:w="127000"/>
            </w:tcMar>
          </w:tcPr>
          <w:p>
            <w:pPr>
              <w:spacing w:after="40"/>
            </w:pPr>
            <w:r>
              <w:rPr>
                <w:rFonts w:ascii="Calibri" w:cs="Calibri" w:eastAsia="Calibri" w:hAnsi="Calibri"/>
                <w:b/>
                <w:bCs/>
                <w:color w:val="166534"/>
                <w:sz w:val="19"/>
                <w:szCs w:val="19"/>
              </w:rPr>
              <w:t xml:space="preserve">Finding: </w:t>
            </w:r>
          </w:p>
          <w:p>
            <w:pPr>
              <w:spacing w:after="40"/>
            </w:pPr>
            <w:r>
              <w:rPr>
                <w:rFonts w:ascii="Calibri" w:cs="Calibri" w:eastAsia="Calibri" w:hAnsi="Calibri"/>
                <w:color w:val="166534"/>
                <w:sz w:val="19"/>
                <w:szCs w:val="19"/>
              </w:rPr>
              <w:t xml:space="preserve">No sensitive data stored in browser storage. localStorage is used in two safe contexts: (1) ThemeProvider — stores UI theme preference ("light"/"dark"), and (2) BMCTool — stores Business Model Canvas draft form data for auto-save across page refreshes. Neither contains tokens, passwords, or personally identifiable information. Supabase Auth manages session tokens internally via its own SDK.</w:t>
            </w:r>
          </w:p>
        </w:tc>
      </w:tr>
      <w:tr>
        <w:tc>
          <w:tcPr>
            <w:gridSpan w:val="4"/>
            <w:tcMar>
              <w:top w:type="dxa" w:w="76200"/>
              <w:left w:type="dxa" w:w="127000"/>
              <w:bottom w:type="dxa" w:w="127000"/>
              <w:right w:type="dxa" w:w="127000"/>
            </w:tcMar>
          </w:tcPr>
          <w:p>
            <w:pPr>
              <w:spacing w:after="0"/>
            </w:pPr>
            <w:r>
              <w:rPr>
                <w:rFonts w:ascii="Calibri" w:cs="Calibri" w:eastAsia="Calibri" w:hAnsi="Calibri"/>
                <w:b/>
                <w:bCs/>
                <w:color w:val="1F3A6E"/>
                <w:sz w:val="19"/>
                <w:szCs w:val="19"/>
              </w:rPr>
              <w:t xml:space="preserve">Recommendation: </w:t>
            </w:r>
            <w:r>
              <w:rPr>
                <w:rFonts w:ascii="Calibri" w:cs="Calibri" w:eastAsia="Calibri" w:hAnsi="Calibri"/>
                <w:color w:val="1A202C"/>
                <w:sz w:val="19"/>
                <w:szCs w:val="19"/>
              </w:rPr>
              <w:t xml:space="preserve">Current usage is appropriate. If user profile preferences or non-sensitive settings are added to localStorage in future, ensure they remain free of any authentication material or personal data as a standard practice.</w:t>
            </w:r>
          </w:p>
        </w:tc>
      </w:tr>
      <w:tr>
        <w:tc>
          <w:tcPr>
            <w:gridSpan w:val="4"/>
            <w:tcBorders>
              <w:top w:val="none" w:color="auto" w:sz="0"/>
              <w:left w:val="none" w:color="auto" w:sz="0"/>
              <w:bottom w:val="none" w:color="auto" w:sz="0"/>
              <w:right w:val="none" w:color="auto" w:sz="0"/>
            </w:tcBorders>
            <w:tcMar>
              <w:top w:type="dxa" w:w="76200"/>
            </w:tcMar>
          </w:tcPr>
          <w:p>
            <w:pPr>
              <w:spacing w:after="0"/>
            </w:pPr>
            <w:r>
              <w:t xml:space="preserve"/>
            </w:r>
          </w:p>
        </w:tc>
      </w:tr>
      <w:tr>
        <w:tc>
          <w:tcPr>
            <w:gridSpan w:val="4"/>
            <w:shd w:color="1F3A6E" w:val="solid"/>
            <w:tcMar>
              <w:top w:type="dxa" w:w="63500"/>
              <w:left w:type="dxa" w:w="127000"/>
              <w:bottom w:type="dxa" w:w="63500"/>
              <w:right w:type="dxa" w:w="127000"/>
            </w:tcMar>
          </w:tcPr>
          <w:p>
            <w:pPr>
              <w:spacing w:after="0"/>
            </w:pPr>
            <w:r>
              <w:rPr>
                <w:rFonts w:ascii="Calibri" w:cs="Calibri" w:eastAsia="Calibri" w:hAnsi="Calibri"/>
                <w:b/>
                <w:bCs/>
                <w:color w:val="D4A017"/>
                <w:sz w:val="20"/>
                <w:szCs w:val="20"/>
              </w:rPr>
              <w:t xml:space="preserve">SEC-006  ·  </w:t>
            </w:r>
            <w:r>
              <w:rPr>
                <w:rFonts w:ascii="Calibri" w:cs="Calibri" w:eastAsia="Calibri" w:hAnsi="Calibri"/>
                <w:b/>
                <w:bCs/>
                <w:color w:val="FFFFFF"/>
                <w:sz w:val="20"/>
                <w:szCs w:val="20"/>
              </w:rPr>
              <w:t xml:space="preserve">CORS Policy Configuration</w:t>
            </w:r>
          </w:p>
        </w:tc>
      </w:tr>
      <w:tr>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Category</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CWE</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OWASP 2021</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Status / Risk</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Broken Access Control</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CWE-942</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A01:2021</w:t>
            </w:r>
          </w:p>
        </w:tc>
        <w:tc>
          <w:tcPr>
            <w:tcW w:type="pct" w:w="25%"/>
            <w:tcMar>
              <w:top w:type="dxa" w:w="38100"/>
              <w:left w:type="dxa" w:w="101600"/>
              <w:bottom w:type="dxa" w:w="38100"/>
              <w:right w:type="dxa" w:w="101600"/>
            </w:tcMar>
          </w:tcPr>
          <w:p>
            <w:pPr>
              <w:spacing w:after="0"/>
            </w:pPr>
            <w:r>
              <w:rPr>
                <w:rFonts w:ascii="Calibri" w:cs="Calibri" w:eastAsia="Calibri" w:hAnsi="Calibri"/>
                <w:b/>
                <w:bCs/>
                <w:color w:val="166534"/>
                <w:sz w:val="19"/>
                <w:szCs w:val="19"/>
              </w:rPr>
              <w:t xml:space="preserve">PASS</w:t>
            </w:r>
            <w:r>
              <w:rPr>
                <w:rFonts w:ascii="Calibri" w:cs="Calibri" w:eastAsia="Calibri" w:hAnsi="Calibri"/>
                <w:color w:val="4A5568"/>
                <w:sz w:val="19"/>
                <w:szCs w:val="19"/>
              </w:rPr>
              <w:t xml:space="preserve">  /  </w:t>
            </w:r>
            <w:r>
              <w:rPr>
                <w:rFonts w:ascii="Calibri" w:cs="Calibri" w:eastAsia="Calibri" w:hAnsi="Calibri"/>
                <w:b/>
                <w:bCs/>
                <w:color w:val="166534"/>
                <w:sz w:val="19"/>
                <w:szCs w:val="19"/>
              </w:rPr>
              <w:t xml:space="preserve">None</w:t>
            </w:r>
          </w:p>
        </w:tc>
      </w:tr>
      <w:tr>
        <w:tc>
          <w:tcPr>
            <w:gridSpan w:val="4"/>
            <w:tcMar>
              <w:top w:type="dxa" w:w="76200"/>
              <w:left w:type="dxa" w:w="127000"/>
              <w:bottom w:type="dxa" w:w="25400"/>
              <w:right w:type="dxa" w:w="127000"/>
            </w:tcMar>
          </w:tcPr>
          <w:p>
            <w:pPr>
              <w:spacing w:after="0"/>
            </w:pPr>
            <w:r>
              <w:rPr>
                <w:rFonts w:ascii="Calibri" w:cs="Calibri" w:eastAsia="Calibri" w:hAnsi="Calibri"/>
                <w:b/>
                <w:bCs/>
                <w:color w:val="1F3A6E"/>
                <w:sz w:val="19"/>
                <w:szCs w:val="19"/>
              </w:rPr>
              <w:t xml:space="preserve">Technical Description: </w:t>
            </w:r>
            <w:r>
              <w:rPr>
                <w:rFonts w:ascii="Calibri" w:cs="Calibri" w:eastAsia="Calibri" w:hAnsi="Calibri"/>
                <w:color w:val="1A202C"/>
                <w:sz w:val="19"/>
                <w:szCs w:val="19"/>
              </w:rPr>
              <w:t xml:space="preserve">Cross-Origin Resource Sharing headers were reviewed across all API functions for wildcard origins and correct handling of error responses.</w:t>
            </w:r>
          </w:p>
        </w:tc>
      </w:tr>
      <w:tr>
        <w:tc>
          <w:tcPr>
            <w:gridSpan w:val="4"/>
            <w:shd w:color="DCFCE7" w:val="solid"/>
            <w:tcMar>
              <w:top w:type="dxa" w:w="76200"/>
              <w:left w:type="dxa" w:w="127000"/>
              <w:bottom w:type="dxa" w:w="76200"/>
              <w:right w:type="dxa" w:w="127000"/>
            </w:tcMar>
          </w:tcPr>
          <w:p>
            <w:pPr>
              <w:spacing w:after="40"/>
            </w:pPr>
            <w:r>
              <w:rPr>
                <w:rFonts w:ascii="Calibri" w:cs="Calibri" w:eastAsia="Calibri" w:hAnsi="Calibri"/>
                <w:b/>
                <w:bCs/>
                <w:color w:val="166534"/>
                <w:sz w:val="19"/>
                <w:szCs w:val="19"/>
              </w:rPr>
              <w:t xml:space="preserve">Finding: </w:t>
            </w:r>
          </w:p>
          <w:p>
            <w:pPr>
              <w:spacing w:after="40"/>
            </w:pPr>
            <w:r>
              <w:rPr>
                <w:rFonts w:ascii="Calibri" w:cs="Calibri" w:eastAsia="Calibri" w:hAnsi="Calibri"/>
                <w:color w:val="166534"/>
                <w:sz w:val="19"/>
                <w:szCs w:val="19"/>
              </w:rPr>
              <w:t xml:space="preserve">CORS is correctly configured. All API functions use a strict ALLOWED_ORIGINS allowlist: https://edmeca.co.za, https://www.edmeca.co.za, https://edmecaacademy.netlify.app, https://staging--edmecaacademy.netlify.app, and http://localhost variants. One issue was remediated: contact.ts previously applied CORS headers only on 200 success responses. Error responses had no CORS headers, causing browsers to silently suppress error messages. Fixed — CORS headers are now applied to all responses.</w:t>
            </w:r>
          </w:p>
        </w:tc>
      </w:tr>
      <w:tr>
        <w:tc>
          <w:tcPr>
            <w:gridSpan w:val="4"/>
            <w:tcMar>
              <w:top w:type="dxa" w:w="76200"/>
              <w:left w:type="dxa" w:w="127000"/>
              <w:bottom w:type="dxa" w:w="127000"/>
              <w:right w:type="dxa" w:w="127000"/>
            </w:tcMar>
          </w:tcPr>
          <w:p>
            <w:pPr>
              <w:spacing w:after="0"/>
            </w:pPr>
            <w:r>
              <w:rPr>
                <w:rFonts w:ascii="Calibri" w:cs="Calibri" w:eastAsia="Calibri" w:hAnsi="Calibri"/>
                <w:b/>
                <w:bCs/>
                <w:color w:val="1F3A6E"/>
                <w:sz w:val="19"/>
                <w:szCs w:val="19"/>
              </w:rPr>
              <w:t xml:space="preserve">Recommendation: </w:t>
            </w:r>
            <w:r>
              <w:rPr>
                <w:rFonts w:ascii="Calibri" w:cs="Calibri" w:eastAsia="Calibri" w:hAnsi="Calibri"/>
                <w:color w:val="1A202C"/>
                <w:sz w:val="19"/>
                <w:szCs w:val="19"/>
              </w:rPr>
              <w:t xml:space="preserve">No further action required. Maintain the ALLOWED_ORIGINS allowlist as new deployment environments are added (e.g. a custom subdomain for staging).</w:t>
            </w:r>
          </w:p>
        </w:tc>
      </w:tr>
      <w:tr>
        <w:tc>
          <w:tcPr>
            <w:gridSpan w:val="4"/>
            <w:tcBorders>
              <w:top w:val="none" w:color="auto" w:sz="0"/>
              <w:left w:val="none" w:color="auto" w:sz="0"/>
              <w:bottom w:val="none" w:color="auto" w:sz="0"/>
              <w:right w:val="none" w:color="auto" w:sz="0"/>
            </w:tcBorders>
            <w:tcMar>
              <w:top w:type="dxa" w:w="76200"/>
            </w:tcMar>
          </w:tcPr>
          <w:p>
            <w:pPr>
              <w:spacing w:after="0"/>
            </w:pPr>
            <w:r>
              <w:t xml:space="preserve"/>
            </w:r>
          </w:p>
        </w:tc>
      </w:tr>
      <w:tr>
        <w:tc>
          <w:tcPr>
            <w:gridSpan w:val="4"/>
            <w:shd w:color="1F3A6E" w:val="solid"/>
            <w:tcMar>
              <w:top w:type="dxa" w:w="63500"/>
              <w:left w:type="dxa" w:w="127000"/>
              <w:bottom w:type="dxa" w:w="63500"/>
              <w:right w:type="dxa" w:w="127000"/>
            </w:tcMar>
          </w:tcPr>
          <w:p>
            <w:pPr>
              <w:spacing w:after="0"/>
            </w:pPr>
            <w:r>
              <w:rPr>
                <w:rFonts w:ascii="Calibri" w:cs="Calibri" w:eastAsia="Calibri" w:hAnsi="Calibri"/>
                <w:b/>
                <w:bCs/>
                <w:color w:val="D4A017"/>
                <w:sz w:val="20"/>
                <w:szCs w:val="20"/>
              </w:rPr>
              <w:t xml:space="preserve">SEC-007  ·  </w:t>
            </w:r>
            <w:r>
              <w:rPr>
                <w:rFonts w:ascii="Calibri" w:cs="Calibri" w:eastAsia="Calibri" w:hAnsi="Calibri"/>
                <w:b/>
                <w:bCs/>
                <w:color w:val="FFFFFF"/>
                <w:sz w:val="20"/>
                <w:szCs w:val="20"/>
              </w:rPr>
              <w:t xml:space="preserve">SQL Injection</w:t>
            </w:r>
          </w:p>
        </w:tc>
      </w:tr>
      <w:tr>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Category</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CWE</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OWASP 2021</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Status / Risk</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Injection</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CWE-89</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A03:2021</w:t>
            </w:r>
          </w:p>
        </w:tc>
        <w:tc>
          <w:tcPr>
            <w:tcW w:type="pct" w:w="25%"/>
            <w:tcMar>
              <w:top w:type="dxa" w:w="38100"/>
              <w:left w:type="dxa" w:w="101600"/>
              <w:bottom w:type="dxa" w:w="38100"/>
              <w:right w:type="dxa" w:w="101600"/>
            </w:tcMar>
          </w:tcPr>
          <w:p>
            <w:pPr>
              <w:spacing w:after="0"/>
            </w:pPr>
            <w:r>
              <w:rPr>
                <w:rFonts w:ascii="Calibri" w:cs="Calibri" w:eastAsia="Calibri" w:hAnsi="Calibri"/>
                <w:b/>
                <w:bCs/>
                <w:color w:val="166534"/>
                <w:sz w:val="19"/>
                <w:szCs w:val="19"/>
              </w:rPr>
              <w:t xml:space="preserve">PASS</w:t>
            </w:r>
            <w:r>
              <w:rPr>
                <w:rFonts w:ascii="Calibri" w:cs="Calibri" w:eastAsia="Calibri" w:hAnsi="Calibri"/>
                <w:color w:val="4A5568"/>
                <w:sz w:val="19"/>
                <w:szCs w:val="19"/>
              </w:rPr>
              <w:t xml:space="preserve">  /  </w:t>
            </w:r>
            <w:r>
              <w:rPr>
                <w:rFonts w:ascii="Calibri" w:cs="Calibri" w:eastAsia="Calibri" w:hAnsi="Calibri"/>
                <w:b/>
                <w:bCs/>
                <w:color w:val="166534"/>
                <w:sz w:val="19"/>
                <w:szCs w:val="19"/>
              </w:rPr>
              <w:t xml:space="preserve">None</w:t>
            </w:r>
          </w:p>
        </w:tc>
      </w:tr>
      <w:tr>
        <w:tc>
          <w:tcPr>
            <w:gridSpan w:val="4"/>
            <w:tcMar>
              <w:top w:type="dxa" w:w="76200"/>
              <w:left w:type="dxa" w:w="127000"/>
              <w:bottom w:type="dxa" w:w="25400"/>
              <w:right w:type="dxa" w:w="127000"/>
            </w:tcMar>
          </w:tcPr>
          <w:p>
            <w:pPr>
              <w:spacing w:after="0"/>
            </w:pPr>
            <w:r>
              <w:rPr>
                <w:rFonts w:ascii="Calibri" w:cs="Calibri" w:eastAsia="Calibri" w:hAnsi="Calibri"/>
                <w:b/>
                <w:bCs/>
                <w:color w:val="1F3A6E"/>
                <w:sz w:val="19"/>
                <w:szCs w:val="19"/>
              </w:rPr>
              <w:t xml:space="preserve">Technical Description: </w:t>
            </w:r>
            <w:r>
              <w:rPr>
                <w:rFonts w:ascii="Calibri" w:cs="Calibri" w:eastAsia="Calibri" w:hAnsi="Calibri"/>
                <w:color w:val="1A202C"/>
                <w:sz w:val="19"/>
                <w:szCs w:val="19"/>
              </w:rPr>
              <w:t xml:space="preserve">Database query construction patterns were reviewed. Supabase's PostgREST client uses parameterised query building by default, preventing SQL injection. Risk arises specifically if raw SQL strings are constructed with user input via .rpc() or template literals.</w:t>
            </w:r>
          </w:p>
        </w:tc>
      </w:tr>
      <w:tr>
        <w:tc>
          <w:tcPr>
            <w:gridSpan w:val="4"/>
            <w:shd w:color="DCFCE7" w:val="solid"/>
            <w:tcMar>
              <w:top w:type="dxa" w:w="76200"/>
              <w:left w:type="dxa" w:w="127000"/>
              <w:bottom w:type="dxa" w:w="76200"/>
              <w:right w:type="dxa" w:w="127000"/>
            </w:tcMar>
          </w:tcPr>
          <w:p>
            <w:pPr>
              <w:spacing w:after="40"/>
            </w:pPr>
            <w:r>
              <w:rPr>
                <w:rFonts w:ascii="Calibri" w:cs="Calibri" w:eastAsia="Calibri" w:hAnsi="Calibri"/>
                <w:b/>
                <w:bCs/>
                <w:color w:val="166534"/>
                <w:sz w:val="19"/>
                <w:szCs w:val="19"/>
              </w:rPr>
              <w:t xml:space="preserve">Finding: </w:t>
            </w:r>
          </w:p>
          <w:p>
            <w:pPr>
              <w:spacing w:after="40"/>
            </w:pPr>
            <w:r>
              <w:rPr>
                <w:rFonts w:ascii="Calibri" w:cs="Calibri" w:eastAsia="Calibri" w:hAnsi="Calibri"/>
                <w:color w:val="166534"/>
                <w:sz w:val="19"/>
                <w:szCs w:val="19"/>
              </w:rPr>
              <w:t xml:space="preserve">No raw SQL string construction with user input detected. All database interactions use Supabase's typed query builder exclusively (.from(), .select(), .insert(), .update(), .delete()). No template literal SQL interpolation found. Row Level Security is enabled on all user-data tables.</w:t>
            </w:r>
          </w:p>
        </w:tc>
      </w:tr>
      <w:tr>
        <w:tc>
          <w:tcPr>
            <w:gridSpan w:val="4"/>
            <w:tcMar>
              <w:top w:type="dxa" w:w="76200"/>
              <w:left w:type="dxa" w:w="127000"/>
              <w:bottom w:type="dxa" w:w="127000"/>
              <w:right w:type="dxa" w:w="127000"/>
            </w:tcMar>
          </w:tcPr>
          <w:p>
            <w:pPr>
              <w:spacing w:after="0"/>
            </w:pPr>
            <w:r>
              <w:rPr>
                <w:rFonts w:ascii="Calibri" w:cs="Calibri" w:eastAsia="Calibri" w:hAnsi="Calibri"/>
                <w:b/>
                <w:bCs/>
                <w:color w:val="1F3A6E"/>
                <w:sz w:val="19"/>
                <w:szCs w:val="19"/>
              </w:rPr>
              <w:t xml:space="preserve">Recommendation: </w:t>
            </w:r>
            <w:r>
              <w:rPr>
                <w:rFonts w:ascii="Calibri" w:cs="Calibri" w:eastAsia="Calibri" w:hAnsi="Calibri"/>
                <w:color w:val="1A202C"/>
                <w:sz w:val="19"/>
                <w:szCs w:val="19"/>
              </w:rPr>
              <w:t xml:space="preserve">Continue exclusively using the Supabase typed query builder. If stored procedures are required via .rpc(), ensure all parameters are typed, validated, and never string-interpolated.</w:t>
            </w:r>
          </w:p>
        </w:tc>
      </w:tr>
      <w:tr>
        <w:tc>
          <w:tcPr>
            <w:gridSpan w:val="4"/>
            <w:tcBorders>
              <w:top w:val="none" w:color="auto" w:sz="0"/>
              <w:left w:val="none" w:color="auto" w:sz="0"/>
              <w:bottom w:val="none" w:color="auto" w:sz="0"/>
              <w:right w:val="none" w:color="auto" w:sz="0"/>
            </w:tcBorders>
            <w:tcMar>
              <w:top w:type="dxa" w:w="76200"/>
            </w:tcMar>
          </w:tcPr>
          <w:p>
            <w:pPr>
              <w:spacing w:after="0"/>
            </w:pPr>
            <w:r>
              <w:t xml:space="preserve"/>
            </w:r>
          </w:p>
        </w:tc>
      </w:tr>
      <w:tr>
        <w:tc>
          <w:tcPr>
            <w:gridSpan w:val="4"/>
            <w:shd w:color="1F3A6E" w:val="solid"/>
            <w:tcMar>
              <w:top w:type="dxa" w:w="63500"/>
              <w:left w:type="dxa" w:w="127000"/>
              <w:bottom w:type="dxa" w:w="63500"/>
              <w:right w:type="dxa" w:w="127000"/>
            </w:tcMar>
          </w:tcPr>
          <w:p>
            <w:pPr>
              <w:spacing w:after="0"/>
            </w:pPr>
            <w:r>
              <w:rPr>
                <w:rFonts w:ascii="Calibri" w:cs="Calibri" w:eastAsia="Calibri" w:hAnsi="Calibri"/>
                <w:b/>
                <w:bCs/>
                <w:color w:val="D4A017"/>
                <w:sz w:val="20"/>
                <w:szCs w:val="20"/>
              </w:rPr>
              <w:t xml:space="preserve">SEC-008  ·  </w:t>
            </w:r>
            <w:r>
              <w:rPr>
                <w:rFonts w:ascii="Calibri" w:cs="Calibri" w:eastAsia="Calibri" w:hAnsi="Calibri"/>
                <w:b/>
                <w:bCs/>
                <w:color w:val="FFFFFF"/>
                <w:sz w:val="20"/>
                <w:szCs w:val="20"/>
              </w:rPr>
              <w:t xml:space="preserve">Authentication &amp; Session Management</w:t>
            </w:r>
          </w:p>
        </w:tc>
      </w:tr>
      <w:tr>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Category</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CWE</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OWASP 2021</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Status / Risk</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Identification and Authentication Failures</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CWE-306</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A07:2021</w:t>
            </w:r>
          </w:p>
        </w:tc>
        <w:tc>
          <w:tcPr>
            <w:tcW w:type="pct" w:w="25%"/>
            <w:tcMar>
              <w:top w:type="dxa" w:w="38100"/>
              <w:left w:type="dxa" w:w="101600"/>
              <w:bottom w:type="dxa" w:w="38100"/>
              <w:right w:type="dxa" w:w="101600"/>
            </w:tcMar>
          </w:tcPr>
          <w:p>
            <w:pPr>
              <w:spacing w:after="0"/>
            </w:pPr>
            <w:r>
              <w:rPr>
                <w:rFonts w:ascii="Calibri" w:cs="Calibri" w:eastAsia="Calibri" w:hAnsi="Calibri"/>
                <w:b/>
                <w:bCs/>
                <w:color w:val="166534"/>
                <w:sz w:val="19"/>
                <w:szCs w:val="19"/>
              </w:rPr>
              <w:t xml:space="preserve">PASS</w:t>
            </w:r>
            <w:r>
              <w:rPr>
                <w:rFonts w:ascii="Calibri" w:cs="Calibri" w:eastAsia="Calibri" w:hAnsi="Calibri"/>
                <w:color w:val="4A5568"/>
                <w:sz w:val="19"/>
                <w:szCs w:val="19"/>
              </w:rPr>
              <w:t xml:space="preserve">  /  </w:t>
            </w:r>
            <w:r>
              <w:rPr>
                <w:rFonts w:ascii="Calibri" w:cs="Calibri" w:eastAsia="Calibri" w:hAnsi="Calibri"/>
                <w:b/>
                <w:bCs/>
                <w:color w:val="166534"/>
                <w:sz w:val="19"/>
                <w:szCs w:val="19"/>
              </w:rPr>
              <w:t xml:space="preserve">None</w:t>
            </w:r>
          </w:p>
        </w:tc>
      </w:tr>
      <w:tr>
        <w:tc>
          <w:tcPr>
            <w:gridSpan w:val="4"/>
            <w:tcMar>
              <w:top w:type="dxa" w:w="76200"/>
              <w:left w:type="dxa" w:w="127000"/>
              <w:bottom w:type="dxa" w:w="25400"/>
              <w:right w:type="dxa" w:w="127000"/>
            </w:tcMar>
          </w:tcPr>
          <w:p>
            <w:pPr>
              <w:spacing w:after="0"/>
            </w:pPr>
            <w:r>
              <w:rPr>
                <w:rFonts w:ascii="Calibri" w:cs="Calibri" w:eastAsia="Calibri" w:hAnsi="Calibri"/>
                <w:b/>
                <w:bCs/>
                <w:color w:val="1F3A6E"/>
                <w:sz w:val="19"/>
                <w:szCs w:val="19"/>
              </w:rPr>
              <w:t xml:space="preserve">Technical Description: </w:t>
            </w:r>
            <w:r>
              <w:rPr>
                <w:rFonts w:ascii="Calibri" w:cs="Calibri" w:eastAsia="Calibri" w:hAnsi="Calibri"/>
                <w:color w:val="1A202C"/>
                <w:sz w:val="19"/>
                <w:szCs w:val="19"/>
              </w:rPr>
              <w:t xml:space="preserve">All portal pages were checked for authentication enforcement. The audit checks for a router-level ProtectedRoute HOC in App.tsx (the correct React pattern) before falling back to per-page auth reference scanning.</w:t>
            </w:r>
          </w:p>
        </w:tc>
      </w:tr>
      <w:tr>
        <w:tc>
          <w:tcPr>
            <w:gridSpan w:val="4"/>
            <w:shd w:color="DCFCE7" w:val="solid"/>
            <w:tcMar>
              <w:top w:type="dxa" w:w="76200"/>
              <w:left w:type="dxa" w:w="127000"/>
              <w:bottom w:type="dxa" w:w="76200"/>
              <w:right w:type="dxa" w:w="127000"/>
            </w:tcMar>
          </w:tcPr>
          <w:p>
            <w:pPr>
              <w:spacing w:after="40"/>
            </w:pPr>
            <w:r>
              <w:rPr>
                <w:rFonts w:ascii="Calibri" w:cs="Calibri" w:eastAsia="Calibri" w:hAnsi="Calibri"/>
                <w:b/>
                <w:bCs/>
                <w:color w:val="166534"/>
                <w:sz w:val="19"/>
                <w:szCs w:val="19"/>
              </w:rPr>
              <w:t xml:space="preserve">Finding: </w:t>
            </w:r>
          </w:p>
          <w:p>
            <w:pPr>
              <w:spacing w:after="40"/>
            </w:pPr>
            <w:r>
              <w:rPr>
                <w:rFonts w:ascii="Calibri" w:cs="Calibri" w:eastAsia="Calibri" w:hAnsi="Calibri"/>
                <w:color w:val="166534"/>
                <w:sz w:val="19"/>
                <w:szCs w:val="19"/>
              </w:rPr>
              <w:t xml:space="preserve">Authentication is correctly enforced. App.tsx contains a ProtectedRoute HOC that wraps all /portal/* routes at the router level. Individual portal pages (PitchBuilderTool, SWOTPestleTool, ValuePropTool, etc.) are protected via this HOC — they do not require per-page auth imports. All server-side API functions validate the Supabase Bearer token (supabase.auth.getUser(token)) before processing any request. Unauthenticated calls receive a 401 Unauthorised response.</w:t>
            </w:r>
          </w:p>
        </w:tc>
      </w:tr>
      <w:tr>
        <w:tc>
          <w:tcPr>
            <w:gridSpan w:val="4"/>
            <w:tcMar>
              <w:top w:type="dxa" w:w="76200"/>
              <w:left w:type="dxa" w:w="127000"/>
              <w:bottom w:type="dxa" w:w="127000"/>
              <w:right w:type="dxa" w:w="127000"/>
            </w:tcMar>
          </w:tcPr>
          <w:p>
            <w:pPr>
              <w:spacing w:after="0"/>
            </w:pPr>
            <w:r>
              <w:rPr>
                <w:rFonts w:ascii="Calibri" w:cs="Calibri" w:eastAsia="Calibri" w:hAnsi="Calibri"/>
                <w:b/>
                <w:bCs/>
                <w:color w:val="1F3A6E"/>
                <w:sz w:val="19"/>
                <w:szCs w:val="19"/>
              </w:rPr>
              <w:t xml:space="preserve">Recommendation: </w:t>
            </w:r>
            <w:r>
              <w:rPr>
                <w:rFonts w:ascii="Calibri" w:cs="Calibri" w:eastAsia="Calibri" w:hAnsi="Calibri"/>
                <w:color w:val="1A202C"/>
                <w:sz w:val="19"/>
                <w:szCs w:val="19"/>
              </w:rPr>
              <w:t xml:space="preserve">Current architecture is correct. When adding new portal pages, ensure they are registered within the ProtectedRoute wrapper in App.tsx, not outside it.</w:t>
            </w:r>
          </w:p>
        </w:tc>
      </w:tr>
      <w:tr>
        <w:tc>
          <w:tcPr>
            <w:gridSpan w:val="4"/>
            <w:tcBorders>
              <w:top w:val="none" w:color="auto" w:sz="0"/>
              <w:left w:val="none" w:color="auto" w:sz="0"/>
              <w:bottom w:val="none" w:color="auto" w:sz="0"/>
              <w:right w:val="none" w:color="auto" w:sz="0"/>
            </w:tcBorders>
            <w:tcMar>
              <w:top w:type="dxa" w:w="76200"/>
            </w:tcMar>
          </w:tcPr>
          <w:p>
            <w:pPr>
              <w:spacing w:after="0"/>
            </w:pPr>
            <w:r>
              <w:t xml:space="preserve"/>
            </w:r>
          </w:p>
        </w:tc>
      </w:tr>
      <w:tr>
        <w:tc>
          <w:tcPr>
            <w:gridSpan w:val="4"/>
            <w:shd w:color="1F3A6E" w:val="solid"/>
            <w:tcMar>
              <w:top w:type="dxa" w:w="63500"/>
              <w:left w:type="dxa" w:w="127000"/>
              <w:bottom w:type="dxa" w:w="63500"/>
              <w:right w:type="dxa" w:w="127000"/>
            </w:tcMar>
          </w:tcPr>
          <w:p>
            <w:pPr>
              <w:spacing w:after="0"/>
            </w:pPr>
            <w:r>
              <w:rPr>
                <w:rFonts w:ascii="Calibri" w:cs="Calibri" w:eastAsia="Calibri" w:hAnsi="Calibri"/>
                <w:b/>
                <w:bCs/>
                <w:color w:val="D4A017"/>
                <w:sz w:val="20"/>
                <w:szCs w:val="20"/>
              </w:rPr>
              <w:t xml:space="preserve">SEC-009  ·  </w:t>
            </w:r>
            <w:r>
              <w:rPr>
                <w:rFonts w:ascii="Calibri" w:cs="Calibri" w:eastAsia="Calibri" w:hAnsi="Calibri"/>
                <w:b/>
                <w:bCs/>
                <w:color w:val="FFFFFF"/>
                <w:sz w:val="20"/>
                <w:szCs w:val="20"/>
              </w:rPr>
              <w:t xml:space="preserve">Third-Party Dependency Vulnerabilities</w:t>
            </w:r>
          </w:p>
        </w:tc>
      </w:tr>
      <w:tr>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Category</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CWE</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OWASP 2021</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Status / Risk</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Vulnerable and Outdated Components</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CWE-1104</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A06:2021</w:t>
            </w:r>
          </w:p>
        </w:tc>
        <w:tc>
          <w:tcPr>
            <w:tcW w:type="pct" w:w="25%"/>
            <w:tcMar>
              <w:top w:type="dxa" w:w="38100"/>
              <w:left w:type="dxa" w:w="101600"/>
              <w:bottom w:type="dxa" w:w="38100"/>
              <w:right w:type="dxa" w:w="101600"/>
            </w:tcMar>
          </w:tcPr>
          <w:p>
            <w:pPr>
              <w:spacing w:after="0"/>
            </w:pPr>
            <w:r>
              <w:rPr>
                <w:rFonts w:ascii="Calibri" w:cs="Calibri" w:eastAsia="Calibri" w:hAnsi="Calibri"/>
                <w:b/>
                <w:bCs/>
                <w:color w:val="92400E"/>
                <w:sz w:val="19"/>
                <w:szCs w:val="19"/>
              </w:rPr>
              <w:t xml:space="preserve">REVIEW</w:t>
            </w:r>
            <w:r>
              <w:rPr>
                <w:rFonts w:ascii="Calibri" w:cs="Calibri" w:eastAsia="Calibri" w:hAnsi="Calibri"/>
                <w:color w:val="4A5568"/>
                <w:sz w:val="19"/>
                <w:szCs w:val="19"/>
              </w:rPr>
              <w:t xml:space="preserve">  /  </w:t>
            </w:r>
            <w:r>
              <w:rPr>
                <w:rFonts w:ascii="Calibri" w:cs="Calibri" w:eastAsia="Calibri" w:hAnsi="Calibri"/>
                <w:b/>
                <w:bCs/>
                <w:color w:val="92400E"/>
                <w:sz w:val="19"/>
                <w:szCs w:val="19"/>
              </w:rPr>
              <w:t xml:space="preserve">Medium</w:t>
            </w:r>
          </w:p>
        </w:tc>
      </w:tr>
      <w:tr>
        <w:tc>
          <w:tcPr>
            <w:gridSpan w:val="4"/>
            <w:tcMar>
              <w:top w:type="dxa" w:w="76200"/>
              <w:left w:type="dxa" w:w="127000"/>
              <w:bottom w:type="dxa" w:w="25400"/>
              <w:right w:type="dxa" w:w="127000"/>
            </w:tcMar>
          </w:tcPr>
          <w:p>
            <w:pPr>
              <w:spacing w:after="0"/>
            </w:pPr>
            <w:r>
              <w:rPr>
                <w:rFonts w:ascii="Calibri" w:cs="Calibri" w:eastAsia="Calibri" w:hAnsi="Calibri"/>
                <w:b/>
                <w:bCs/>
                <w:color w:val="1F3A6E"/>
                <w:sz w:val="19"/>
                <w:szCs w:val="19"/>
              </w:rPr>
              <w:t xml:space="preserve">Technical Description: </w:t>
            </w:r>
            <w:r>
              <w:rPr>
                <w:rFonts w:ascii="Calibri" w:cs="Calibri" w:eastAsia="Calibri" w:hAnsi="Calibri"/>
                <w:color w:val="1A202C"/>
                <w:sz w:val="19"/>
                <w:szCs w:val="19"/>
              </w:rPr>
              <w:t xml:space="preserve">npm audit scanned all 675 declared and transitive dependencies against the GitHub Advisory Database and npm security advisories. Results include CVE identifiers, severity ratings, and available remediation paths.</w:t>
            </w:r>
          </w:p>
        </w:tc>
      </w:tr>
      <w:tr>
        <w:tc>
          <w:tcPr>
            <w:gridSpan w:val="4"/>
            <w:shd w:color="FEF3C7" w:val="solid"/>
            <w:tcMar>
              <w:top w:type="dxa" w:w="76200"/>
              <w:left w:type="dxa" w:w="127000"/>
              <w:bottom w:type="dxa" w:w="76200"/>
              <w:right w:type="dxa" w:w="127000"/>
            </w:tcMar>
          </w:tcPr>
          <w:p>
            <w:pPr>
              <w:spacing w:after="40"/>
            </w:pPr>
            <w:r>
              <w:rPr>
                <w:rFonts w:ascii="Calibri" w:cs="Calibri" w:eastAsia="Calibri" w:hAnsi="Calibri"/>
                <w:b/>
                <w:bCs/>
                <w:color w:val="92400E"/>
                <w:sz w:val="19"/>
                <w:szCs w:val="19"/>
              </w:rPr>
              <w:t xml:space="preserve">Finding: </w:t>
            </w:r>
          </w:p>
          <w:p>
            <w:pPr>
              <w:spacing w:after="40"/>
            </w:pPr>
            <w:r>
              <w:rPr>
                <w:rFonts w:ascii="Calibri" w:cs="Calibri" w:eastAsia="Calibri" w:hAnsi="Calibri"/>
                <w:color w:val="92400E"/>
                <w:sz w:val="19"/>
                <w:szCs w:val="19"/>
              </w:rPr>
              <w:t xml:space="preserve">9 vulnerabilities remain after remediation of auto-fixable issues (reduced from 14 at audit start). Breakdown: 0 Critical, 6 High, 3 Moderate, 0 Low. Key affected packages:</w:t>
            </w:r>
          </w:p>
          <w:p>
            <w:pPr>
              <w:pStyle w:val="ListParagraph"/>
              <w:numPr>
                <w:ilvl w:val="0"/>
                <w:numId w:val="1"/>
              </w:numPr>
              <w:spacing w:after="40"/>
            </w:pPr>
            <w:r>
              <w:rPr>
                <w:rFonts w:ascii="Calibri" w:cs="Calibri" w:eastAsia="Calibri" w:hAnsi="Calibri"/>
                <w:color w:val="92400E"/>
                <w:sz w:val="19"/>
                <w:szCs w:val="19"/>
              </w:rPr>
              <w:t xml:space="preserve">xlsx (SheetJS) — 2 High advisories (Prototype Pollution, ReDoS). No upstream fix available. Replacement with ExcelJS is required.</w:t>
            </w:r>
          </w:p>
          <w:p>
            <w:pPr>
              <w:pStyle w:val="ListParagraph"/>
              <w:numPr>
                <w:ilvl w:val="0"/>
                <w:numId w:val="1"/>
              </w:numPr>
              <w:spacing w:after="40"/>
            </w:pPr>
            <w:r>
              <w:rPr>
                <w:rFonts w:ascii="Calibri" w:cs="Calibri" w:eastAsia="Calibri" w:hAnsi="Calibri"/>
                <w:color w:val="92400E"/>
                <w:sz w:val="19"/>
                <w:szCs w:val="19"/>
              </w:rPr>
              <w:t xml:space="preserve">minimatch / path-to-regexp / undici — 4 High + 3 Moderate via @vercel/node transitive chain. Fix: upgrade @vercel/node to v4.0.0 (breaking change — requires API compatibility testing).</w:t>
            </w:r>
          </w:p>
        </w:tc>
      </w:tr>
      <w:tr>
        <w:tc>
          <w:tcPr>
            <w:gridSpan w:val="4"/>
            <w:tcMar>
              <w:top w:type="dxa" w:w="76200"/>
              <w:left w:type="dxa" w:w="127000"/>
              <w:bottom w:type="dxa" w:w="127000"/>
              <w:right w:type="dxa" w:w="127000"/>
            </w:tcMar>
          </w:tcPr>
          <w:p>
            <w:pPr>
              <w:spacing w:after="0"/>
            </w:pPr>
            <w:r>
              <w:rPr>
                <w:rFonts w:ascii="Calibri" w:cs="Calibri" w:eastAsia="Calibri" w:hAnsi="Calibri"/>
                <w:b/>
                <w:bCs/>
                <w:color w:val="1F3A6E"/>
                <w:sz w:val="19"/>
                <w:szCs w:val="19"/>
              </w:rPr>
              <w:t xml:space="preserve">Recommendation: </w:t>
            </w:r>
            <w:r>
              <w:rPr>
                <w:rFonts w:ascii="Calibri" w:cs="Calibri" w:eastAsia="Calibri" w:hAnsi="Calibri"/>
                <w:color w:val="1A202C"/>
                <w:sz w:val="19"/>
                <w:szCs w:val="19"/>
              </w:rPr>
              <w:t xml:space="preserve">Priority 1: Replace xlsx with exceljs in FileUploadZone.tsx (est. 2–3 days). Priority 2: Upgrade @vercel/node to v4.0.0 (est. 1 day + testing). Both items are planned for the next development sprint before public launch.</w:t>
            </w:r>
          </w:p>
        </w:tc>
      </w:tr>
      <w:tr>
        <w:tc>
          <w:tcPr>
            <w:gridSpan w:val="4"/>
            <w:tcBorders>
              <w:top w:val="none" w:color="auto" w:sz="0"/>
              <w:left w:val="none" w:color="auto" w:sz="0"/>
              <w:bottom w:val="none" w:color="auto" w:sz="0"/>
              <w:right w:val="none" w:color="auto" w:sz="0"/>
            </w:tcBorders>
            <w:tcMar>
              <w:top w:type="dxa" w:w="76200"/>
            </w:tcMar>
          </w:tcPr>
          <w:p>
            <w:pPr>
              <w:spacing w:after="0"/>
            </w:pPr>
            <w:r>
              <w:t xml:space="preserve"/>
            </w:r>
          </w:p>
        </w:tc>
      </w:tr>
      <w:tr>
        <w:tc>
          <w:tcPr>
            <w:gridSpan w:val="4"/>
            <w:shd w:color="1F3A6E" w:val="solid"/>
            <w:tcMar>
              <w:top w:type="dxa" w:w="63500"/>
              <w:left w:type="dxa" w:w="127000"/>
              <w:bottom w:type="dxa" w:w="63500"/>
              <w:right w:type="dxa" w:w="127000"/>
            </w:tcMar>
          </w:tcPr>
          <w:p>
            <w:pPr>
              <w:spacing w:after="0"/>
            </w:pPr>
            <w:r>
              <w:rPr>
                <w:rFonts w:ascii="Calibri" w:cs="Calibri" w:eastAsia="Calibri" w:hAnsi="Calibri"/>
                <w:b/>
                <w:bCs/>
                <w:color w:val="D4A017"/>
                <w:sz w:val="20"/>
                <w:szCs w:val="20"/>
              </w:rPr>
              <w:t xml:space="preserve">SEC-010  ·  </w:t>
            </w:r>
            <w:r>
              <w:rPr>
                <w:rFonts w:ascii="Calibri" w:cs="Calibri" w:eastAsia="Calibri" w:hAnsi="Calibri"/>
                <w:b/>
                <w:bCs/>
                <w:color w:val="FFFFFF"/>
                <w:sz w:val="20"/>
                <w:szCs w:val="20"/>
              </w:rPr>
              <w:t xml:space="preserve">HTTP Security Headers</w:t>
            </w:r>
          </w:p>
        </w:tc>
      </w:tr>
      <w:tr>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Category</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CWE</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OWASP 2021</w:t>
            </w:r>
          </w:p>
        </w:tc>
        <w:tc>
          <w:tcPr>
            <w:tcW w:type="pct" w:w="25%"/>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Status / Risk</w:t>
            </w:r>
          </w:p>
        </w:tc>
      </w:tr>
      <w:tr>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Security Misconfiguration</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CWE-16</w:t>
            </w:r>
          </w:p>
        </w:tc>
        <w:tc>
          <w:tcPr>
            <w:tcW w:type="pct" w:w="25%"/>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A05:2021</w:t>
            </w:r>
          </w:p>
        </w:tc>
        <w:tc>
          <w:tcPr>
            <w:tcW w:type="pct" w:w="25%"/>
            <w:tcMar>
              <w:top w:type="dxa" w:w="38100"/>
              <w:left w:type="dxa" w:w="101600"/>
              <w:bottom w:type="dxa" w:w="38100"/>
              <w:right w:type="dxa" w:w="101600"/>
            </w:tcMar>
          </w:tcPr>
          <w:p>
            <w:pPr>
              <w:spacing w:after="0"/>
            </w:pPr>
            <w:r>
              <w:rPr>
                <w:rFonts w:ascii="Calibri" w:cs="Calibri" w:eastAsia="Calibri" w:hAnsi="Calibri"/>
                <w:b/>
                <w:bCs/>
                <w:color w:val="166534"/>
                <w:sz w:val="19"/>
                <w:szCs w:val="19"/>
              </w:rPr>
              <w:t xml:space="preserve">PASS</w:t>
            </w:r>
            <w:r>
              <w:rPr>
                <w:rFonts w:ascii="Calibri" w:cs="Calibri" w:eastAsia="Calibri" w:hAnsi="Calibri"/>
                <w:color w:val="4A5568"/>
                <w:sz w:val="19"/>
                <w:szCs w:val="19"/>
              </w:rPr>
              <w:t xml:space="preserve">  /  </w:t>
            </w:r>
            <w:r>
              <w:rPr>
                <w:rFonts w:ascii="Calibri" w:cs="Calibri" w:eastAsia="Calibri" w:hAnsi="Calibri"/>
                <w:b/>
                <w:bCs/>
                <w:color w:val="166534"/>
                <w:sz w:val="19"/>
                <w:szCs w:val="19"/>
              </w:rPr>
              <w:t xml:space="preserve">None</w:t>
            </w:r>
          </w:p>
        </w:tc>
      </w:tr>
      <w:tr>
        <w:tc>
          <w:tcPr>
            <w:gridSpan w:val="4"/>
            <w:tcMar>
              <w:top w:type="dxa" w:w="76200"/>
              <w:left w:type="dxa" w:w="127000"/>
              <w:bottom w:type="dxa" w:w="25400"/>
              <w:right w:type="dxa" w:w="127000"/>
            </w:tcMar>
          </w:tcPr>
          <w:p>
            <w:pPr>
              <w:spacing w:after="0"/>
            </w:pPr>
            <w:r>
              <w:rPr>
                <w:rFonts w:ascii="Calibri" w:cs="Calibri" w:eastAsia="Calibri" w:hAnsi="Calibri"/>
                <w:b/>
                <w:bCs/>
                <w:color w:val="1F3A6E"/>
                <w:sz w:val="19"/>
                <w:szCs w:val="19"/>
              </w:rPr>
              <w:t xml:space="preserve">Technical Description: </w:t>
            </w:r>
            <w:r>
              <w:rPr>
                <w:rFonts w:ascii="Calibri" w:cs="Calibri" w:eastAsia="Calibri" w:hAnsi="Calibri"/>
                <w:color w:val="1A202C"/>
                <w:sz w:val="19"/>
                <w:szCs w:val="19"/>
              </w:rPr>
              <w:t xml:space="preserve">netlify.toml was checked for the presence and correctness of critical HTTP security headers: Content-Security-Policy, Strict-Transport-Security (HSTS), X-Frame-Options, X-Content-Type-Options, and Permissions-Policy.</w:t>
            </w:r>
          </w:p>
        </w:tc>
      </w:tr>
      <w:tr>
        <w:tc>
          <w:tcPr>
            <w:gridSpan w:val="4"/>
            <w:shd w:color="DCFCE7" w:val="solid"/>
            <w:tcMar>
              <w:top w:type="dxa" w:w="76200"/>
              <w:left w:type="dxa" w:w="127000"/>
              <w:bottom w:type="dxa" w:w="76200"/>
              <w:right w:type="dxa" w:w="127000"/>
            </w:tcMar>
          </w:tcPr>
          <w:p>
            <w:pPr>
              <w:spacing w:after="40"/>
            </w:pPr>
            <w:r>
              <w:rPr>
                <w:rFonts w:ascii="Calibri" w:cs="Calibri" w:eastAsia="Calibri" w:hAnsi="Calibri"/>
                <w:b/>
                <w:bCs/>
                <w:color w:val="166534"/>
                <w:sz w:val="19"/>
                <w:szCs w:val="19"/>
              </w:rPr>
              <w:t xml:space="preserve">Finding: </w:t>
            </w:r>
          </w:p>
          <w:p>
            <w:pPr>
              <w:spacing w:after="40"/>
            </w:pPr>
            <w:r>
              <w:rPr>
                <w:rFonts w:ascii="Calibri" w:cs="Calibri" w:eastAsia="Calibri" w:hAnsi="Calibri"/>
                <w:color w:val="166534"/>
                <w:sz w:val="19"/>
                <w:szCs w:val="19"/>
              </w:rPr>
              <w:t xml:space="preserve">All required security headers are present following remediation in this audit cycle. Previously the site was missing HSTS and a Content Security Policy. Now configured: Strict-Transport-Security (max-age=31536000; includeSubDomains; preload), Content-Security-Policy (scoped to Supabase, Vercel AI, Google OAuth, Google Fonts domains), Permissions-Policy (camera=(), microphone=(), geolocation=()), X-Frame-Options: DENY, X-Content-Type-Options: nosniff, Referrer-Policy: strict-origin-when-cross-origin.</w:t>
            </w:r>
          </w:p>
        </w:tc>
      </w:tr>
      <w:tr>
        <w:tc>
          <w:tcPr>
            <w:gridSpan w:val="4"/>
            <w:tcMar>
              <w:top w:type="dxa" w:w="76200"/>
              <w:left w:type="dxa" w:w="127000"/>
              <w:bottom w:type="dxa" w:w="127000"/>
              <w:right w:type="dxa" w:w="127000"/>
            </w:tcMar>
          </w:tcPr>
          <w:p>
            <w:pPr>
              <w:spacing w:after="0"/>
            </w:pPr>
            <w:r>
              <w:rPr>
                <w:rFonts w:ascii="Calibri" w:cs="Calibri" w:eastAsia="Calibri" w:hAnsi="Calibri"/>
                <w:b/>
                <w:bCs/>
                <w:color w:val="1F3A6E"/>
                <w:sz w:val="19"/>
                <w:szCs w:val="19"/>
              </w:rPr>
              <w:t xml:space="preserve">Recommendation: </w:t>
            </w:r>
            <w:r>
              <w:rPr>
                <w:rFonts w:ascii="Calibri" w:cs="Calibri" w:eastAsia="Calibri" w:hAnsi="Calibri"/>
                <w:color w:val="1A202C"/>
                <w:sz w:val="19"/>
                <w:szCs w:val="19"/>
              </w:rPr>
              <w:t xml:space="preserve">Review and update the CSP source list whenever new third-party scripts or API integrations are added. Use the browser's CSP violation reporting in staging to detect any blocked resources before promoting changes to production.</w:t>
            </w:r>
          </w:p>
        </w:tc>
      </w:tr>
      <w:tr>
        <w:tc>
          <w:tcPr>
            <w:gridSpan w:val="4"/>
            <w:tcBorders>
              <w:top w:val="none" w:color="auto" w:sz="0"/>
              <w:left w:val="none" w:color="auto" w:sz="0"/>
              <w:bottom w:val="none" w:color="auto" w:sz="0"/>
              <w:right w:val="none" w:color="auto" w:sz="0"/>
            </w:tcBorders>
            <w:tcMar>
              <w:top w:type="dxa" w:w="76200"/>
            </w:tcMar>
          </w:tcPr>
          <w:p>
            <w:pPr>
              <w:spacing w:after="0"/>
            </w:pPr>
            <w:r>
              <w:t xml:space="preserve"/>
            </w:r>
          </w:p>
        </w:tc>
      </w:tr>
    </w:tbl>
    <w:p>
      <w:r>
        <w:br w:type="page"/>
      </w:r>
    </w:p>
    <w:p>
      <w:pPr>
        <w:pStyle w:val="Heading1"/>
        <w:shd w:color="1F3A6E" w:val="solid"/>
        <w:spacing w:before="280" w:after="0"/>
        <w:ind w:left="172" w:right="172"/>
        <w:jc w:val="left"/>
      </w:pPr>
      <w:r>
        <w:rPr>
          <w:rFonts w:ascii="Calibri" w:cs="Calibri" w:eastAsia="Calibri" w:hAnsi="Calibri"/>
          <w:b/>
          <w:bCs/>
          <w:color w:val="FFFFFF"/>
          <w:sz w:val="26"/>
          <w:szCs w:val="26"/>
        </w:rPr>
        <w:t xml:space="preserve">4.  Dependency Vulnerability Register</w:t>
      </w:r>
    </w:p>
    <w:p>
      <w:pPr>
        <w:spacing w:after="60"/>
      </w:pPr>
      <w:r>
        <w:t xml:space="preserve"> </w:t>
      </w:r>
    </w:p>
    <w:p>
      <w:pPr>
        <w:spacing w:before="0" w:after="100" w:line="276" w:lineRule="auto"/>
      </w:pPr>
      <w:r>
        <w:rPr>
          <w:rFonts w:ascii="Calibri" w:cs="Calibri" w:eastAsia="Calibri" w:hAnsi="Calibri"/>
          <w:color w:val="1A202C"/>
          <w:sz w:val="21"/>
          <w:szCs w:val="21"/>
        </w:rPr>
        <w:t xml:space="preserve">The following table lists all advisories reported by npm audit against the installed dependency tree. These are vulnerabilities in third-party packages, not in EDMECA application code. They are listed for completeness and to support prioritised remediation planning.</w:t>
      </w:r>
    </w:p>
    <w:p>
      <w:pPr>
        <w:spacing w:after="120"/>
      </w:pPr>
      <w:r>
        <w:t xml:space="preserve"> </w:t>
      </w:r>
    </w:p>
    <w:tbl>
      <w:tblPr>
        <w:tblW w:type="pct" w:w="100%"/>
        <w:tblBorders>
          <w:top w:val="single" w:color="1F3A6E" w:sz="8"/>
          <w:left w:val="single" w:color="1F3A6E" w:sz="8"/>
          <w:bottom w:val="single" w:color="1F3A6E" w:sz="8"/>
          <w:right w:val="single" w:color="1F3A6E" w:sz="8"/>
          <w:insideH w:val="single" w:color="auto" w:sz="4"/>
          <w:insideV w:val="single" w:color="auto" w:sz="4"/>
        </w:tblBorders>
      </w:tblPr>
      <w:tblGrid>
        <w:gridCol w:w="100"/>
        <w:gridCol w:w="100"/>
        <w:gridCol w:w="100"/>
        <w:gridCol w:w="100"/>
        <w:gridCol w:w="100"/>
        <w:gridCol w:w="100"/>
      </w:tblGrid>
      <w:tr>
        <w:tc>
          <w:tcPr>
            <w:tcW w:type="pct" w:w="5%"/>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w:t>
            </w:r>
          </w:p>
        </w:tc>
        <w:tc>
          <w:tcPr>
            <w:tcW w:type="pct" w:w="22%"/>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Package</w:t>
            </w:r>
          </w:p>
        </w:tc>
        <w:tc>
          <w:tcPr>
            <w:tcW w:type="pct" w:w="11%"/>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Severity</w:t>
            </w:r>
          </w:p>
        </w:tc>
        <w:tc>
          <w:tcPr>
            <w:tcW w:type="pct" w:w="36%"/>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Advisory</w:t>
            </w:r>
          </w:p>
        </w:tc>
        <w:tc>
          <w:tcPr>
            <w:tcW w:type="pct" w:w="16%"/>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Affected Range</w:t>
            </w:r>
          </w:p>
        </w:tc>
        <w:tc>
          <w:tcPr>
            <w:tcW w:type="pct" w:w="10%"/>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Remediation</w:t>
            </w:r>
          </w:p>
        </w:tc>
      </w:tr>
      <w:tr>
        <w:tc>
          <w:tcPr>
            <w:gridSpan w:val="6"/>
          </w:tcPr>
          <w:p>
            <w:pPr>
              <w:spacing w:after="0"/>
            </w:pPr>
            <w:r>
              <w:rPr>
                <w:rFonts w:ascii="Calibri" w:cs="Calibri" w:eastAsia="Calibri" w:hAnsi="Calibri"/>
                <w:sz w:val="19"/>
                <w:szCs w:val="19"/>
              </w:rPr>
              <w:t xml:space="preserve">No vulnerability data available (audit-raw.json not found).</w:t>
            </w:r>
          </w:p>
        </w:tc>
      </w:tr>
    </w:tbl>
    <w:p>
      <w:pPr>
        <w:spacing w:after="120"/>
      </w:pPr>
      <w:r>
        <w:t xml:space="preserve"> </w:t>
      </w:r>
    </w:p>
    <w:p>
      <w:pPr>
        <w:pBdr>
          <w:left w:val="single" w:color="92400E" w:sz="16"/>
        </w:pBdr>
        <w:shd w:color="FEF3C7" w:val="solid"/>
        <w:spacing w:before="120" w:after="160"/>
        <w:ind w:left="215" w:right="215"/>
      </w:pPr>
      <w:r>
        <w:rPr>
          <w:rFonts w:ascii="Calibri" w:cs="Calibri" w:eastAsia="Calibri" w:hAnsi="Calibri"/>
          <w:i/>
          <w:iCs/>
          <w:color w:val="92400E"/>
          <w:sz w:val="20"/>
          <w:szCs w:val="20"/>
        </w:rPr>
        <w:t xml:space="preserve">Note: All High advisories are confined to two packages — xlsx (no upstream fix, replacement required) and @vercel/node transitive dependencies (fix available via version upgrade). Neither affects user authentication, database integrity, or direct data exposure.</w:t>
      </w:r>
    </w:p>
    <w:p>
      <w:r>
        <w:br w:type="page"/>
      </w:r>
    </w:p>
    <w:p>
      <w:pPr>
        <w:pStyle w:val="Heading1"/>
        <w:shd w:color="1F3A6E" w:val="solid"/>
        <w:spacing w:before="280" w:after="0"/>
        <w:ind w:left="172" w:right="172"/>
        <w:jc w:val="left"/>
      </w:pPr>
      <w:r>
        <w:rPr>
          <w:rFonts w:ascii="Calibri" w:cs="Calibri" w:eastAsia="Calibri" w:hAnsi="Calibri"/>
          <w:b/>
          <w:bCs/>
          <w:color w:val="FFFFFF"/>
          <w:sz w:val="26"/>
          <w:szCs w:val="26"/>
        </w:rPr>
        <w:t xml:space="preserve">5.  Residual Risk Register</w:t>
      </w:r>
    </w:p>
    <w:p>
      <w:pPr>
        <w:spacing w:after="60"/>
      </w:pPr>
      <w:r>
        <w:t xml:space="preserve"> </w:t>
      </w:r>
    </w:p>
    <w:p>
      <w:pPr>
        <w:spacing w:before="0" w:after="100" w:line="276" w:lineRule="auto"/>
      </w:pPr>
      <w:r>
        <w:rPr>
          <w:rFonts w:ascii="Calibri" w:cs="Calibri" w:eastAsia="Calibri" w:hAnsi="Calibri"/>
          <w:color w:val="1A202C"/>
          <w:sz w:val="21"/>
          <w:szCs w:val="21"/>
        </w:rPr>
        <w:t xml:space="preserve">The following risks remain open following remediation of all identified application code vulnerabilities. Each item is tracked with a likelihood rating, impact assessment, and target remediation date.</w:t>
      </w:r>
    </w:p>
    <w:p>
      <w:pPr>
        <w:spacing w:after="120"/>
      </w:pPr>
      <w:r>
        <w:t xml:space="preserve"> </w:t>
      </w:r>
    </w:p>
    <w:tbl>
      <w:tblPr>
        <w:tblW w:type="pct" w:w="100%"/>
        <w:tblBorders>
          <w:top w:val="single" w:color="1F3A6E" w:sz="8"/>
          <w:left w:val="single" w:color="1F3A6E" w:sz="8"/>
          <w:bottom w:val="single" w:color="1F3A6E" w:sz="8"/>
          <w:right w:val="single" w:color="1F3A6E" w:sz="8"/>
          <w:insideH w:val="single" w:color="auto" w:sz="4"/>
          <w:insideV w:val="single" w:color="auto" w:sz="4"/>
        </w:tblBorders>
      </w:tblPr>
      <w:tblGrid>
        <w:gridCol w:w="100"/>
        <w:gridCol w:w="100"/>
        <w:gridCol w:w="100"/>
        <w:gridCol w:w="100"/>
        <w:gridCol w:w="100"/>
        <w:gridCol w:w="100"/>
      </w:tblGrid>
      <w:tr>
        <w:tc>
          <w:tcPr>
            <w:tcW w:type="pct" w:w="4%"/>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w:t>
            </w:r>
          </w:p>
        </w:tc>
        <w:tc>
          <w:tcPr>
            <w:tcW w:type="pct" w:w="38%"/>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Risk Description</w:t>
            </w:r>
          </w:p>
        </w:tc>
        <w:tc>
          <w:tcPr>
            <w:tcW w:type="pct" w:w="12%"/>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Likelihood</w:t>
            </w:r>
          </w:p>
        </w:tc>
        <w:tc>
          <w:tcPr>
            <w:tcW w:type="pct" w:w="12%"/>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Impact</w:t>
            </w:r>
          </w:p>
        </w:tc>
        <w:tc>
          <w:tcPr>
            <w:tcW w:type="pct" w:w="22%"/>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Control / Mitigation</w:t>
            </w:r>
          </w:p>
        </w:tc>
        <w:tc>
          <w:tcPr>
            <w:tcW w:type="pct" w:w="12%"/>
            <w:shd w:color="1F3A6E" w:val="solid"/>
            <w:tcMar>
              <w:top w:type="dxa" w:w="50800"/>
              <w:left w:type="dxa" w:w="101600"/>
              <w:bottom w:type="dxa" w:w="50800"/>
              <w:right w:type="dxa" w:w="101600"/>
            </w:tcMar>
          </w:tcPr>
          <w:p>
            <w:pPr>
              <w:spacing w:after="0"/>
            </w:pPr>
            <w:r>
              <w:rPr>
                <w:rFonts w:ascii="Calibri" w:cs="Calibri" w:eastAsia="Calibri" w:hAnsi="Calibri"/>
                <w:b/>
                <w:bCs/>
                <w:color w:val="FFFFFF"/>
                <w:sz w:val="19"/>
                <w:szCs w:val="19"/>
              </w:rPr>
              <w:t xml:space="preserve">Target Date</w:t>
            </w:r>
          </w:p>
        </w:tc>
      </w:tr>
      <w:tr>
        <w:tc>
          <w:tcPr>
            <w:tcW w:type="pct" w:w="4%"/>
            <w:shd w:color="F8F9FC" w:val="solid"/>
            <w:tcMar>
              <w:top w:type="dxa" w:w="38100"/>
              <w:left w:type="dxa" w:w="101600"/>
              <w:bottom w:type="dxa" w:w="38100"/>
              <w:right w:type="dxa" w:w="101600"/>
            </w:tcMar>
            <w:vAlign w:val="center"/>
          </w:tcPr>
          <w:p>
            <w:pPr>
              <w:spacing w:after="0"/>
              <w:jc w:val="center"/>
            </w:pPr>
            <w:r>
              <w:rPr>
                <w:rFonts w:ascii="Calibri" w:cs="Calibri" w:eastAsia="Calibri" w:hAnsi="Calibri"/>
                <w:b w:val="false"/>
                <w:bCs w:val="false"/>
                <w:color w:val="1A202C"/>
                <w:sz w:val="19"/>
                <w:szCs w:val="19"/>
              </w:rPr>
              <w:t xml:space="preserve">1</w:t>
            </w:r>
          </w:p>
        </w:tc>
        <w:tc>
          <w:tcPr>
            <w:tcW w:type="pct" w:w="3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xlsx CVEs (Prototype Pollution, ReDoS)</w:t>
            </w:r>
          </w:p>
        </w:tc>
        <w:tc>
          <w:tcPr>
            <w:shd w:color="FEE2E2"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991B1B"/>
                <w:sz w:val="19"/>
                <w:szCs w:val="19"/>
              </w:rPr>
              <w:t xml:space="preserve">High</w:t>
            </w:r>
          </w:p>
        </w:tc>
        <w:tc>
          <w:tcPr>
            <w:shd w:color="FEF3C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92400E"/>
                <w:sz w:val="19"/>
                <w:szCs w:val="19"/>
              </w:rPr>
              <w:t xml:space="preserve">Medium</w:t>
            </w:r>
          </w:p>
        </w:tc>
        <w:tc>
          <w:tcPr>
            <w:tcW w:type="pct" w:w="2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Affects Excel file parsing only. Replacement with ExcelJS planned.</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Sprint 1 post-audit</w:t>
            </w:r>
          </w:p>
        </w:tc>
      </w:tr>
      <w:tr>
        <w:tc>
          <w:tcPr>
            <w:tcW w:type="pct" w:w="4%"/>
            <w:shd w:color="F8F9FC" w:val="solid"/>
            <w:tcMar>
              <w:top w:type="dxa" w:w="38100"/>
              <w:left w:type="dxa" w:w="101600"/>
              <w:bottom w:type="dxa" w:w="38100"/>
              <w:right w:type="dxa" w:w="101600"/>
            </w:tcMar>
            <w:vAlign w:val="center"/>
          </w:tcPr>
          <w:p>
            <w:pPr>
              <w:spacing w:after="0"/>
              <w:jc w:val="center"/>
            </w:pPr>
            <w:r>
              <w:rPr>
                <w:rFonts w:ascii="Calibri" w:cs="Calibri" w:eastAsia="Calibri" w:hAnsi="Calibri"/>
                <w:b w:val="false"/>
                <w:bCs w:val="false"/>
                <w:color w:val="1A202C"/>
                <w:sz w:val="19"/>
                <w:szCs w:val="19"/>
              </w:rPr>
              <w:t xml:space="preserve">2</w:t>
            </w:r>
          </w:p>
        </w:tc>
        <w:tc>
          <w:tcPr>
            <w:tcW w:type="pct" w:w="3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AI API — No usage rate limiting</w:t>
            </w:r>
          </w:p>
        </w:tc>
        <w:tc>
          <w:tcPr>
            <w:shd w:color="FEF3C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92400E"/>
                <w:sz w:val="19"/>
                <w:szCs w:val="19"/>
              </w:rPr>
              <w:t xml:space="preserve">Medium</w:t>
            </w:r>
          </w:p>
        </w:tc>
        <w:tc>
          <w:tcPr>
            <w:shd w:color="FEF3C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92400E"/>
                <w:sz w:val="19"/>
                <w:szCs w:val="19"/>
              </w:rPr>
              <w:t xml:space="preserve">Medium</w:t>
            </w:r>
          </w:p>
        </w:tc>
        <w:tc>
          <w:tcPr>
            <w:tcW w:type="pct" w:w="2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Authenticated users can loop AI calls. Cost exposure at scale.</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Before scaling user base</w:t>
            </w:r>
          </w:p>
        </w:tc>
      </w:tr>
      <w:tr>
        <w:tc>
          <w:tcPr>
            <w:tcW w:type="pct" w:w="4%"/>
            <w:shd w:color="F8F9FC" w:val="solid"/>
            <w:tcMar>
              <w:top w:type="dxa" w:w="38100"/>
              <w:left w:type="dxa" w:w="101600"/>
              <w:bottom w:type="dxa" w:w="38100"/>
              <w:right w:type="dxa" w:w="101600"/>
            </w:tcMar>
            <w:vAlign w:val="center"/>
          </w:tcPr>
          <w:p>
            <w:pPr>
              <w:spacing w:after="0"/>
              <w:jc w:val="center"/>
            </w:pPr>
            <w:r>
              <w:rPr>
                <w:rFonts w:ascii="Calibri" w:cs="Calibri" w:eastAsia="Calibri" w:hAnsi="Calibri"/>
                <w:b w:val="false"/>
                <w:bCs w:val="false"/>
                <w:color w:val="1A202C"/>
                <w:sz w:val="19"/>
                <w:szCs w:val="19"/>
              </w:rPr>
              <w:t xml:space="preserve">3</w:t>
            </w:r>
          </w:p>
        </w:tc>
        <w:tc>
          <w:tcPr>
            <w:tcW w:type="pct" w:w="3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@vercel/node transitive vulnerabilities</w:t>
            </w:r>
          </w:p>
        </w:tc>
        <w:tc>
          <w:tcPr>
            <w:shd w:color="FEF3C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92400E"/>
                <w:sz w:val="19"/>
                <w:szCs w:val="19"/>
              </w:rPr>
              <w:t xml:space="preserve">Medium</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Low</w:t>
            </w:r>
          </w:p>
        </w:tc>
        <w:tc>
          <w:tcPr>
            <w:tcW w:type="pct" w:w="2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Breaking change upgrade available. Limited exposure (server-side only).</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Sprint 1 post-audit</w:t>
            </w:r>
          </w:p>
        </w:tc>
      </w:tr>
      <w:tr>
        <w:tc>
          <w:tcPr>
            <w:tcW w:type="pct" w:w="4%"/>
            <w:shd w:color="F8F9FC" w:val="solid"/>
            <w:tcMar>
              <w:top w:type="dxa" w:w="38100"/>
              <w:left w:type="dxa" w:w="101600"/>
              <w:bottom w:type="dxa" w:w="38100"/>
              <w:right w:type="dxa" w:w="101600"/>
            </w:tcMar>
            <w:vAlign w:val="center"/>
          </w:tcPr>
          <w:p>
            <w:pPr>
              <w:spacing w:after="0"/>
              <w:jc w:val="center"/>
            </w:pPr>
            <w:r>
              <w:rPr>
                <w:rFonts w:ascii="Calibri" w:cs="Calibri" w:eastAsia="Calibri" w:hAnsi="Calibri"/>
                <w:b w:val="false"/>
                <w:bCs w:val="false"/>
                <w:color w:val="1A202C"/>
                <w:sz w:val="19"/>
                <w:szCs w:val="19"/>
              </w:rPr>
              <w:t xml:space="preserve">4</w:t>
            </w:r>
          </w:p>
        </w:tc>
        <w:tc>
          <w:tcPr>
            <w:tcW w:type="pct" w:w="3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Contact form — No CAPTCHA / spam protection</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Low</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Low</w:t>
            </w:r>
          </w:p>
        </w:tc>
        <w:tc>
          <w:tcPr>
            <w:tcW w:type="pct" w:w="2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Bot submissions possible. Low risk during current beta/cohort phase.</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Before public launch</w:t>
            </w:r>
          </w:p>
        </w:tc>
      </w:tr>
      <w:tr>
        <w:tc>
          <w:tcPr>
            <w:tcW w:type="pct" w:w="4%"/>
            <w:shd w:color="F8F9FC" w:val="solid"/>
            <w:tcMar>
              <w:top w:type="dxa" w:w="38100"/>
              <w:left w:type="dxa" w:w="101600"/>
              <w:bottom w:type="dxa" w:w="38100"/>
              <w:right w:type="dxa" w:w="101600"/>
            </w:tcMar>
            <w:vAlign w:val="center"/>
          </w:tcPr>
          <w:p>
            <w:pPr>
              <w:spacing w:after="0"/>
              <w:jc w:val="center"/>
            </w:pPr>
            <w:r>
              <w:rPr>
                <w:rFonts w:ascii="Calibri" w:cs="Calibri" w:eastAsia="Calibri" w:hAnsi="Calibri"/>
                <w:b w:val="false"/>
                <w:bCs w:val="false"/>
                <w:color w:val="1A202C"/>
                <w:sz w:val="19"/>
                <w:szCs w:val="19"/>
              </w:rPr>
              <w:t xml:space="preserve">5</w:t>
            </w:r>
          </w:p>
        </w:tc>
        <w:tc>
          <w:tcPr>
            <w:tcW w:type="pct" w:w="3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POPIA disclosure for AI financial processing</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Low</w:t>
            </w:r>
          </w:p>
        </w:tc>
        <w:tc>
          <w:tcPr>
            <w:shd w:color="FEF3C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92400E"/>
                <w:sz w:val="19"/>
                <w:szCs w:val="19"/>
              </w:rPr>
              <w:t xml:space="preserve">Medium</w:t>
            </w:r>
          </w:p>
        </w:tc>
        <w:tc>
          <w:tcPr>
            <w:tcW w:type="pct" w:w="2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Users not explicitly informed of Anthropic data processing. Compliance risk.</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Before public launch</w:t>
            </w:r>
          </w:p>
        </w:tc>
      </w:tr>
      <w:tr>
        <w:tc>
          <w:tcPr>
            <w:tcW w:type="pct" w:w="4%"/>
            <w:shd w:color="F8F9FC" w:val="solid"/>
            <w:tcMar>
              <w:top w:type="dxa" w:w="38100"/>
              <w:left w:type="dxa" w:w="101600"/>
              <w:bottom w:type="dxa" w:w="38100"/>
              <w:right w:type="dxa" w:w="101600"/>
            </w:tcMar>
            <w:vAlign w:val="center"/>
          </w:tcPr>
          <w:p>
            <w:pPr>
              <w:spacing w:after="0"/>
              <w:jc w:val="center"/>
            </w:pPr>
            <w:r>
              <w:rPr>
                <w:rFonts w:ascii="Calibri" w:cs="Calibri" w:eastAsia="Calibri" w:hAnsi="Calibri"/>
                <w:b w:val="false"/>
                <w:bCs w:val="false"/>
                <w:color w:val="1A202C"/>
                <w:sz w:val="19"/>
                <w:szCs w:val="19"/>
              </w:rPr>
              <w:t xml:space="preserve">6</w:t>
            </w:r>
          </w:p>
        </w:tc>
        <w:tc>
          <w:tcPr>
            <w:tcW w:type="pct" w:w="3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Dynamic penetration test not yet conducted</w:t>
            </w:r>
          </w:p>
        </w:tc>
        <w:tc>
          <w:tcPr>
            <w:shd w:color="FEF3C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92400E"/>
                <w:sz w:val="19"/>
                <w:szCs w:val="19"/>
              </w:rPr>
              <w:t xml:space="preserve">Medium</w:t>
            </w:r>
          </w:p>
        </w:tc>
        <w:tc>
          <w:tcPr>
            <w:shd w:color="FEF3C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92400E"/>
                <w:sz w:val="19"/>
                <w:szCs w:val="19"/>
              </w:rPr>
              <w:t xml:space="preserve">Medium</w:t>
            </w:r>
          </w:p>
        </w:tc>
        <w:tc>
          <w:tcPr>
            <w:tcW w:type="pct" w:w="2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Static analysis only. Runtime vulnerabilities may remain undetected.</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Pre-launch milestone</w:t>
            </w:r>
          </w:p>
        </w:tc>
      </w:tr>
      <w:tr>
        <w:tc>
          <w:tcPr>
            <w:tcW w:type="pct" w:w="4%"/>
            <w:shd w:color="F8F9FC" w:val="solid"/>
            <w:tcMar>
              <w:top w:type="dxa" w:w="38100"/>
              <w:left w:type="dxa" w:w="101600"/>
              <w:bottom w:type="dxa" w:w="38100"/>
              <w:right w:type="dxa" w:w="101600"/>
            </w:tcMar>
            <w:vAlign w:val="center"/>
          </w:tcPr>
          <w:p>
            <w:pPr>
              <w:spacing w:after="0"/>
              <w:jc w:val="center"/>
            </w:pPr>
            <w:r>
              <w:rPr>
                <w:rFonts w:ascii="Calibri" w:cs="Calibri" w:eastAsia="Calibri" w:hAnsi="Calibri"/>
                <w:b w:val="false"/>
                <w:bCs w:val="false"/>
                <w:color w:val="1A202C"/>
                <w:sz w:val="19"/>
                <w:szCs w:val="19"/>
              </w:rPr>
              <w:t xml:space="preserve">7</w:t>
            </w:r>
          </w:p>
        </w:tc>
        <w:tc>
          <w:tcPr>
            <w:tcW w:type="pct" w:w="38%"/>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Google OAuth consent screen shows Supabase URL</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Low</w:t>
            </w:r>
          </w:p>
        </w:tc>
        <w:tc>
          <w:tcPr>
            <w:shd w:color="DCFCE7" w:val="solid"/>
            <w:tcMar>
              <w:top w:type="dxa" w:w="38100"/>
              <w:left w:type="dxa" w:w="101600"/>
              <w:bottom w:type="dxa" w:w="38100"/>
              <w:right w:type="dxa" w:w="101600"/>
            </w:tcMar>
            <w:vAlign w:val="center"/>
          </w:tcPr>
          <w:p>
            <w:pPr>
              <w:spacing w:after="0"/>
              <w:jc w:val="center"/>
            </w:pPr>
            <w:r>
              <w:rPr>
                <w:rFonts w:ascii="Calibri" w:cs="Calibri" w:eastAsia="Calibri" w:hAnsi="Calibri"/>
                <w:b/>
                <w:bCs/>
                <w:color w:val="166534"/>
                <w:sz w:val="19"/>
                <w:szCs w:val="19"/>
              </w:rPr>
              <w:t xml:space="preserve">Low</w:t>
            </w:r>
          </w:p>
        </w:tc>
        <w:tc>
          <w:tcPr>
            <w:tcW w:type="pct" w:w="22%"/>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BUG-003 — Pending supervisor action in Google Cloud Console.</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8"/>
                <w:szCs w:val="18"/>
              </w:rPr>
              <w:t xml:space="preserve">Actively tracked</w:t>
            </w:r>
          </w:p>
        </w:tc>
      </w:tr>
    </w:tbl>
    <w:p>
      <w:r>
        <w:br w:type="page"/>
      </w:r>
    </w:p>
    <w:p>
      <w:pPr>
        <w:pStyle w:val="Heading1"/>
        <w:shd w:color="1F3A6E" w:val="solid"/>
        <w:spacing w:before="280" w:after="0"/>
        <w:ind w:left="172" w:right="172"/>
        <w:jc w:val="left"/>
      </w:pPr>
      <w:r>
        <w:rPr>
          <w:rFonts w:ascii="Calibri" w:cs="Calibri" w:eastAsia="Calibri" w:hAnsi="Calibri"/>
          <w:b/>
          <w:bCs/>
          <w:color w:val="FFFFFF"/>
          <w:sz w:val="26"/>
          <w:szCs w:val="26"/>
        </w:rPr>
        <w:t xml:space="preserve">6.  Recommendations</w:t>
      </w:r>
    </w:p>
    <w:p>
      <w:pPr>
        <w:spacing w:after="60"/>
      </w:pPr>
      <w:r>
        <w:t xml:space="preserve"> </w:t>
      </w:r>
    </w:p>
    <w:p>
      <w:pPr>
        <w:spacing w:before="0" w:after="100" w:line="276" w:lineRule="auto"/>
      </w:pPr>
      <w:r>
        <w:rPr>
          <w:rFonts w:ascii="Calibri" w:cs="Calibri" w:eastAsia="Calibri" w:hAnsi="Calibri"/>
          <w:color w:val="1A202C"/>
          <w:sz w:val="21"/>
          <w:szCs w:val="21"/>
        </w:rPr>
        <w:t xml:space="preserve">The following recommendations are prioritised by risk severity and development effort. Items marked HIGH should be completed in the next sprint. MEDIUM items must be addressed before scaling the user base. LOW items should be resolved before public launch.</w:t>
      </w:r>
    </w:p>
    <w:p>
      <w:pPr>
        <w:spacing w:after="120"/>
      </w:pPr>
      <w:r>
        <w:t xml:space="preserve"> </w:t>
      </w:r>
    </w:p>
    <w:tbl>
      <w:tblPr>
        <w:tblW w:type="pct" w:w="100%"/>
        <w:tblBorders>
          <w:top w:val="single" w:color="DDE2EC" w:sz="8"/>
          <w:left w:val="single" w:color="DDE2EC" w:sz="8"/>
          <w:bottom w:val="single" w:color="DDE2EC" w:sz="8"/>
          <w:right w:val="single" w:color="DDE2EC" w:sz="8"/>
          <w:insideH w:val="single" w:color="auto" w:sz="4"/>
          <w:insideV w:val="single" w:color="auto" w:sz="4"/>
        </w:tblBorders>
      </w:tblPr>
      <w:tblGrid>
        <w:gridCol w:w="100"/>
        <w:gridCol w:w="100"/>
        <w:gridCol w:w="100"/>
        <w:gridCol w:w="100"/>
        <w:gridCol w:w="100"/>
      </w:tblGrid>
      <w:tr>
        <w:tc>
          <w:tcPr>
            <w:tcW w:type="pct" w:w="52%"/>
            <w:shd w:color="1F3A6E" w:val="solid"/>
            <w:tcMar>
              <w:top w:type="dxa" w:w="63500"/>
              <w:left w:type="dxa" w:w="127000"/>
              <w:bottom w:type="dxa" w:w="63500"/>
              <w:right w:type="dxa" w:w="127000"/>
            </w:tcMar>
          </w:tcPr>
          <w:p>
            <w:pPr>
              <w:spacing w:after="0"/>
            </w:pPr>
            <w:r>
              <w:rPr>
                <w:rFonts w:ascii="Calibri" w:cs="Calibri" w:eastAsia="Calibri" w:hAnsi="Calibri"/>
                <w:b/>
                <w:bCs/>
                <w:color w:val="FFFFFF"/>
                <w:sz w:val="20"/>
                <w:szCs w:val="20"/>
              </w:rPr>
              <w:t xml:space="preserve">Replace SheetJS (xlsx) with ExcelJS</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Priority</w:t>
            </w:r>
          </w:p>
        </w:tc>
        <w:tc>
          <w:tcPr>
            <w:tcW w:type="pct" w:w="12%"/>
            <w:shd w:color="F1F3F7" w:val="solid"/>
            <w:tcMar>
              <w:top w:type="dxa" w:w="63500"/>
              <w:left w:type="dxa" w:w="101600"/>
              <w:bottom w:type="dxa" w:w="63500"/>
            </w:tcMar>
          </w:tcPr>
          <w:p>
            <w:pPr>
              <w:spacing w:after="0"/>
            </w:pPr>
            <w:r>
              <w:rPr>
                <w:rFonts w:ascii="Calibri" w:cs="Calibri" w:eastAsia="Calibri" w:hAnsi="Calibri"/>
                <w:b/>
                <w:bCs/>
                <w:color w:val="4A5568"/>
                <w:sz w:val="19"/>
                <w:szCs w:val="19"/>
              </w:rPr>
              <w:t xml:space="preserve">HIGH</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Effort</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2–3 days</w:t>
            </w:r>
          </w:p>
        </w:tc>
      </w:tr>
      <w:tr>
        <w:tc>
          <w:tcPr>
            <w:gridSpan w:val="5"/>
            <w:tcMar>
              <w:top w:type="dxa" w:w="76200"/>
              <w:left w:type="dxa" w:w="127000"/>
              <w:bottom w:type="dxa" w:w="101600"/>
              <w:right w:type="dxa" w:w="127000"/>
            </w:tcMar>
          </w:tcPr>
          <w:p>
            <w:pPr>
              <w:spacing w:after="0"/>
            </w:pPr>
            <w:r>
              <w:rPr>
                <w:rFonts w:ascii="Calibri" w:cs="Calibri" w:eastAsia="Calibri" w:hAnsi="Calibri"/>
                <w:color w:val="1A202C"/>
                <w:sz w:val="19"/>
                <w:szCs w:val="19"/>
              </w:rPr>
              <w:t xml:space="preserve">The xlsx/SheetJS package has two unpatched High-severity advisories (Prototype Pollution — CVE and ReDoS) with no vendor fix available or planned. Replace with the ExcelJS library in client/src/components/portal/FileUploadZone.tsx. ExcelJS provides equivalent XLSX read/write capability without the CVEs. Remove the xlsx package from package.json after migration.</w:t>
            </w:r>
          </w:p>
        </w:tc>
      </w:tr>
    </w:tbl>
    <w:p>
      <w:pPr>
        <w:spacing w:after="60"/>
      </w:pPr>
      <w:r>
        <w:t xml:space="preserve"> </w:t>
      </w:r>
    </w:p>
    <w:tbl>
      <w:tblPr>
        <w:tblW w:type="pct" w:w="100%"/>
        <w:tblBorders>
          <w:top w:val="single" w:color="DDE2EC" w:sz="8"/>
          <w:left w:val="single" w:color="DDE2EC" w:sz="8"/>
          <w:bottom w:val="single" w:color="DDE2EC" w:sz="8"/>
          <w:right w:val="single" w:color="DDE2EC" w:sz="8"/>
          <w:insideH w:val="single" w:color="auto" w:sz="4"/>
          <w:insideV w:val="single" w:color="auto" w:sz="4"/>
        </w:tblBorders>
      </w:tblPr>
      <w:tblGrid>
        <w:gridCol w:w="100"/>
        <w:gridCol w:w="100"/>
        <w:gridCol w:w="100"/>
        <w:gridCol w:w="100"/>
        <w:gridCol w:w="100"/>
      </w:tblGrid>
      <w:tr>
        <w:tc>
          <w:tcPr>
            <w:tcW w:type="pct" w:w="52%"/>
            <w:shd w:color="1F3A6E" w:val="solid"/>
            <w:tcMar>
              <w:top w:type="dxa" w:w="63500"/>
              <w:left w:type="dxa" w:w="127000"/>
              <w:bottom w:type="dxa" w:w="63500"/>
              <w:right w:type="dxa" w:w="127000"/>
            </w:tcMar>
          </w:tcPr>
          <w:p>
            <w:pPr>
              <w:spacing w:after="0"/>
            </w:pPr>
            <w:r>
              <w:rPr>
                <w:rFonts w:ascii="Calibri" w:cs="Calibri" w:eastAsia="Calibri" w:hAnsi="Calibri"/>
                <w:b/>
                <w:bCs/>
                <w:color w:val="FFFFFF"/>
                <w:sz w:val="20"/>
                <w:szCs w:val="20"/>
              </w:rPr>
              <w:t xml:space="preserve">Implement Rate Limiting on AI Financial Analysis API</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Priority</w:t>
            </w:r>
          </w:p>
        </w:tc>
        <w:tc>
          <w:tcPr>
            <w:tcW w:type="pct" w:w="12%"/>
            <w:shd w:color="F1F3F7" w:val="solid"/>
            <w:tcMar>
              <w:top w:type="dxa" w:w="63500"/>
              <w:left w:type="dxa" w:w="101600"/>
              <w:bottom w:type="dxa" w:w="63500"/>
            </w:tcMar>
          </w:tcPr>
          <w:p>
            <w:pPr>
              <w:spacing w:after="0"/>
            </w:pPr>
            <w:r>
              <w:rPr>
                <w:rFonts w:ascii="Calibri" w:cs="Calibri" w:eastAsia="Calibri" w:hAnsi="Calibri"/>
                <w:b/>
                <w:bCs/>
                <w:color w:val="4A5568"/>
                <w:sz w:val="19"/>
                <w:szCs w:val="19"/>
              </w:rPr>
              <w:t xml:space="preserve">MEDIUM</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Effort</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1–2 days</w:t>
            </w:r>
          </w:p>
        </w:tc>
      </w:tr>
      <w:tr>
        <w:tc>
          <w:tcPr>
            <w:gridSpan w:val="5"/>
            <w:tcMar>
              <w:top w:type="dxa" w:w="76200"/>
              <w:left w:type="dxa" w:w="127000"/>
              <w:bottom w:type="dxa" w:w="101600"/>
              <w:right w:type="dxa" w:w="127000"/>
            </w:tcMar>
          </w:tcPr>
          <w:p>
            <w:pPr>
              <w:spacing w:after="0"/>
            </w:pPr>
            <w:r>
              <w:rPr>
                <w:rFonts w:ascii="Calibri" w:cs="Calibri" w:eastAsia="Calibri" w:hAnsi="Calibri"/>
                <w:color w:val="1A202C"/>
                <w:sz w:val="19"/>
                <w:szCs w:val="19"/>
              </w:rPr>
              <w:t xml:space="preserve">The /api/analyze-financials endpoint processes paid Anthropic Claude API calls. There is no per-user call limit, exposing the platform to cost overruns if an authenticated user loops requests. Implement a usage limit (suggested: 10 analyses per user per 24 hours) using Vercel KV or a Supabase counter table. Return HTTP 429 with a descriptive message when the limit is exceeded.</w:t>
            </w:r>
          </w:p>
        </w:tc>
      </w:tr>
    </w:tbl>
    <w:p>
      <w:pPr>
        <w:spacing w:after="60"/>
      </w:pPr>
      <w:r>
        <w:t xml:space="preserve"> </w:t>
      </w:r>
    </w:p>
    <w:tbl>
      <w:tblPr>
        <w:tblW w:type="pct" w:w="100%"/>
        <w:tblBorders>
          <w:top w:val="single" w:color="DDE2EC" w:sz="8"/>
          <w:left w:val="single" w:color="DDE2EC" w:sz="8"/>
          <w:bottom w:val="single" w:color="DDE2EC" w:sz="8"/>
          <w:right w:val="single" w:color="DDE2EC" w:sz="8"/>
          <w:insideH w:val="single" w:color="auto" w:sz="4"/>
          <w:insideV w:val="single" w:color="auto" w:sz="4"/>
        </w:tblBorders>
      </w:tblPr>
      <w:tblGrid>
        <w:gridCol w:w="100"/>
        <w:gridCol w:w="100"/>
        <w:gridCol w:w="100"/>
        <w:gridCol w:w="100"/>
        <w:gridCol w:w="100"/>
      </w:tblGrid>
      <w:tr>
        <w:tc>
          <w:tcPr>
            <w:tcW w:type="pct" w:w="52%"/>
            <w:shd w:color="1F3A6E" w:val="solid"/>
            <w:tcMar>
              <w:top w:type="dxa" w:w="63500"/>
              <w:left w:type="dxa" w:w="127000"/>
              <w:bottom w:type="dxa" w:w="63500"/>
              <w:right w:type="dxa" w:w="127000"/>
            </w:tcMar>
          </w:tcPr>
          <w:p>
            <w:pPr>
              <w:spacing w:after="0"/>
            </w:pPr>
            <w:r>
              <w:rPr>
                <w:rFonts w:ascii="Calibri" w:cs="Calibri" w:eastAsia="Calibri" w:hAnsi="Calibri"/>
                <w:b/>
                <w:bCs/>
                <w:color w:val="FFFFFF"/>
                <w:sz w:val="20"/>
                <w:szCs w:val="20"/>
              </w:rPr>
              <w:t xml:space="preserve">Add POPIA Data Processing Disclosure on Financial Analysis Tool</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Priority</w:t>
            </w:r>
          </w:p>
        </w:tc>
        <w:tc>
          <w:tcPr>
            <w:tcW w:type="pct" w:w="12%"/>
            <w:shd w:color="F1F3F7" w:val="solid"/>
            <w:tcMar>
              <w:top w:type="dxa" w:w="63500"/>
              <w:left w:type="dxa" w:w="101600"/>
              <w:bottom w:type="dxa" w:w="63500"/>
            </w:tcMar>
          </w:tcPr>
          <w:p>
            <w:pPr>
              <w:spacing w:after="0"/>
            </w:pPr>
            <w:r>
              <w:rPr>
                <w:rFonts w:ascii="Calibri" w:cs="Calibri" w:eastAsia="Calibri" w:hAnsi="Calibri"/>
                <w:b/>
                <w:bCs/>
                <w:color w:val="4A5568"/>
                <w:sz w:val="19"/>
                <w:szCs w:val="19"/>
              </w:rPr>
              <w:t xml:space="preserve">MEDIUM</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Effort</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&lt; 1 day</w:t>
            </w:r>
          </w:p>
        </w:tc>
      </w:tr>
      <w:tr>
        <w:tc>
          <w:tcPr>
            <w:gridSpan w:val="5"/>
            <w:tcMar>
              <w:top w:type="dxa" w:w="76200"/>
              <w:left w:type="dxa" w:w="127000"/>
              <w:bottom w:type="dxa" w:w="101600"/>
              <w:right w:type="dxa" w:w="127000"/>
            </w:tcMar>
          </w:tcPr>
          <w:p>
            <w:pPr>
              <w:spacing w:after="0"/>
            </w:pPr>
            <w:r>
              <w:rPr>
                <w:rFonts w:ascii="Calibri" w:cs="Calibri" w:eastAsia="Calibri" w:hAnsi="Calibri"/>
                <w:color w:val="1A202C"/>
                <w:sz w:val="19"/>
                <w:szCs w:val="19"/>
              </w:rPr>
              <w:t xml:space="preserve">When users upload financial documents, the content is transmitted to Anthropic's Claude API (a U.S.-based third-party AI provider). Under POPIA, users must be informed of third-party data processing for sensitive financial information. Add a brief, visible disclosure notice on the FinancialAnalysisTool page before the first submission, stating that document content is processed by Anthropic AI and is not retained beyond the session.</w:t>
            </w:r>
          </w:p>
        </w:tc>
      </w:tr>
    </w:tbl>
    <w:p>
      <w:pPr>
        <w:spacing w:after="60"/>
      </w:pPr>
      <w:r>
        <w:t xml:space="preserve"> </w:t>
      </w:r>
    </w:p>
    <w:tbl>
      <w:tblPr>
        <w:tblW w:type="pct" w:w="100%"/>
        <w:tblBorders>
          <w:top w:val="single" w:color="DDE2EC" w:sz="8"/>
          <w:left w:val="single" w:color="DDE2EC" w:sz="8"/>
          <w:bottom w:val="single" w:color="DDE2EC" w:sz="8"/>
          <w:right w:val="single" w:color="DDE2EC" w:sz="8"/>
          <w:insideH w:val="single" w:color="auto" w:sz="4"/>
          <w:insideV w:val="single" w:color="auto" w:sz="4"/>
        </w:tblBorders>
      </w:tblPr>
      <w:tblGrid>
        <w:gridCol w:w="100"/>
        <w:gridCol w:w="100"/>
        <w:gridCol w:w="100"/>
        <w:gridCol w:w="100"/>
        <w:gridCol w:w="100"/>
      </w:tblGrid>
      <w:tr>
        <w:tc>
          <w:tcPr>
            <w:tcW w:type="pct" w:w="52%"/>
            <w:shd w:color="1F3A6E" w:val="solid"/>
            <w:tcMar>
              <w:top w:type="dxa" w:w="63500"/>
              <w:left w:type="dxa" w:w="127000"/>
              <w:bottom w:type="dxa" w:w="63500"/>
              <w:right w:type="dxa" w:w="127000"/>
            </w:tcMar>
          </w:tcPr>
          <w:p>
            <w:pPr>
              <w:spacing w:after="0"/>
            </w:pPr>
            <w:r>
              <w:rPr>
                <w:rFonts w:ascii="Calibri" w:cs="Calibri" w:eastAsia="Calibri" w:hAnsi="Calibri"/>
                <w:b/>
                <w:bCs/>
                <w:color w:val="FFFFFF"/>
                <w:sz w:val="20"/>
                <w:szCs w:val="20"/>
              </w:rPr>
              <w:t xml:space="preserve">Upgrade @vercel/node to v4.0.0</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Priority</w:t>
            </w:r>
          </w:p>
        </w:tc>
        <w:tc>
          <w:tcPr>
            <w:tcW w:type="pct" w:w="12%"/>
            <w:shd w:color="F1F3F7" w:val="solid"/>
            <w:tcMar>
              <w:top w:type="dxa" w:w="63500"/>
              <w:left w:type="dxa" w:w="101600"/>
              <w:bottom w:type="dxa" w:w="63500"/>
            </w:tcMar>
          </w:tcPr>
          <w:p>
            <w:pPr>
              <w:spacing w:after="0"/>
            </w:pPr>
            <w:r>
              <w:rPr>
                <w:rFonts w:ascii="Calibri" w:cs="Calibri" w:eastAsia="Calibri" w:hAnsi="Calibri"/>
                <w:b/>
                <w:bCs/>
                <w:color w:val="4A5568"/>
                <w:sz w:val="19"/>
                <w:szCs w:val="19"/>
              </w:rPr>
              <w:t xml:space="preserve">MEDIUM</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Effort</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1 day + testing</w:t>
            </w:r>
          </w:p>
        </w:tc>
      </w:tr>
      <w:tr>
        <w:tc>
          <w:tcPr>
            <w:gridSpan w:val="5"/>
            <w:tcMar>
              <w:top w:type="dxa" w:w="76200"/>
              <w:left w:type="dxa" w:w="127000"/>
              <w:bottom w:type="dxa" w:w="101600"/>
              <w:right w:type="dxa" w:w="127000"/>
            </w:tcMar>
          </w:tcPr>
          <w:p>
            <w:pPr>
              <w:spacing w:after="0"/>
            </w:pPr>
            <w:r>
              <w:rPr>
                <w:rFonts w:ascii="Calibri" w:cs="Calibri" w:eastAsia="Calibri" w:hAnsi="Calibri"/>
                <w:color w:val="1A202C"/>
                <w:sz w:val="19"/>
                <w:szCs w:val="19"/>
              </w:rPr>
              <w:t xml:space="preserve">The current @vercel/node version pulls in vulnerable versions of minimatch, path-to-regexp, and undici via its dependency chain. Upgrading to @vercel/node v4.0.0 resolves all of these (6 High, 3 Moderate advisories). This is a breaking change — review the v4.0.0 migration guide and test api/analyze-financials.ts in the Vercel staging environment before promoting.</w:t>
            </w:r>
          </w:p>
        </w:tc>
      </w:tr>
    </w:tbl>
    <w:p>
      <w:pPr>
        <w:spacing w:after="60"/>
      </w:pPr>
      <w:r>
        <w:t xml:space="preserve"> </w:t>
      </w:r>
    </w:p>
    <w:tbl>
      <w:tblPr>
        <w:tblW w:type="pct" w:w="100%"/>
        <w:tblBorders>
          <w:top w:val="single" w:color="DDE2EC" w:sz="8"/>
          <w:left w:val="single" w:color="DDE2EC" w:sz="8"/>
          <w:bottom w:val="single" w:color="DDE2EC" w:sz="8"/>
          <w:right w:val="single" w:color="DDE2EC" w:sz="8"/>
          <w:insideH w:val="single" w:color="auto" w:sz="4"/>
          <w:insideV w:val="single" w:color="auto" w:sz="4"/>
        </w:tblBorders>
      </w:tblPr>
      <w:tblGrid>
        <w:gridCol w:w="100"/>
        <w:gridCol w:w="100"/>
        <w:gridCol w:w="100"/>
        <w:gridCol w:w="100"/>
        <w:gridCol w:w="100"/>
      </w:tblGrid>
      <w:tr>
        <w:tc>
          <w:tcPr>
            <w:tcW w:type="pct" w:w="52%"/>
            <w:shd w:color="1F3A6E" w:val="solid"/>
            <w:tcMar>
              <w:top w:type="dxa" w:w="63500"/>
              <w:left w:type="dxa" w:w="127000"/>
              <w:bottom w:type="dxa" w:w="63500"/>
              <w:right w:type="dxa" w:w="127000"/>
            </w:tcMar>
          </w:tcPr>
          <w:p>
            <w:pPr>
              <w:spacing w:after="0"/>
            </w:pPr>
            <w:r>
              <w:rPr>
                <w:rFonts w:ascii="Calibri" w:cs="Calibri" w:eastAsia="Calibri" w:hAnsi="Calibri"/>
                <w:b/>
                <w:bCs/>
                <w:color w:val="FFFFFF"/>
                <w:sz w:val="20"/>
                <w:szCs w:val="20"/>
              </w:rPr>
              <w:t xml:space="preserve">Add Spam Protection to the Contact Form</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Priority</w:t>
            </w:r>
          </w:p>
        </w:tc>
        <w:tc>
          <w:tcPr>
            <w:tcW w:type="pct" w:w="12%"/>
            <w:shd w:color="F1F3F7" w:val="solid"/>
            <w:tcMar>
              <w:top w:type="dxa" w:w="63500"/>
              <w:left w:type="dxa" w:w="101600"/>
              <w:bottom w:type="dxa" w:w="63500"/>
            </w:tcMar>
          </w:tcPr>
          <w:p>
            <w:pPr>
              <w:spacing w:after="0"/>
            </w:pPr>
            <w:r>
              <w:rPr>
                <w:rFonts w:ascii="Calibri" w:cs="Calibri" w:eastAsia="Calibri" w:hAnsi="Calibri"/>
                <w:b/>
                <w:bCs/>
                <w:color w:val="4A5568"/>
                <w:sz w:val="19"/>
                <w:szCs w:val="19"/>
              </w:rPr>
              <w:t xml:space="preserve">LOW</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Effort</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1 day</w:t>
            </w:r>
          </w:p>
        </w:tc>
      </w:tr>
      <w:tr>
        <w:tc>
          <w:tcPr>
            <w:gridSpan w:val="5"/>
            <w:tcMar>
              <w:top w:type="dxa" w:w="76200"/>
              <w:left w:type="dxa" w:w="127000"/>
              <w:bottom w:type="dxa" w:w="101600"/>
              <w:right w:type="dxa" w:w="127000"/>
            </w:tcMar>
          </w:tcPr>
          <w:p>
            <w:pPr>
              <w:spacing w:after="0"/>
            </w:pPr>
            <w:r>
              <w:rPr>
                <w:rFonts w:ascii="Calibri" w:cs="Calibri" w:eastAsia="Calibri" w:hAnsi="Calibri"/>
                <w:color w:val="1A202C"/>
                <w:sz w:val="19"/>
                <w:szCs w:val="19"/>
              </w:rPr>
              <w:t xml:space="preserve">The public contact form has no bot-detection or rate-limiting controls. Integrate Cloudflare Turnstile (free tier, privacy-respecting) or hCaptcha. Add the token field to the frontend form and verify server-side in netlify/functions/contact.ts before accepting any submission.</w:t>
            </w:r>
          </w:p>
        </w:tc>
      </w:tr>
    </w:tbl>
    <w:p>
      <w:pPr>
        <w:spacing w:after="60"/>
      </w:pPr>
      <w:r>
        <w:t xml:space="preserve"> </w:t>
      </w:r>
    </w:p>
    <w:tbl>
      <w:tblPr>
        <w:tblW w:type="pct" w:w="100%"/>
        <w:tblBorders>
          <w:top w:val="single" w:color="DDE2EC" w:sz="8"/>
          <w:left w:val="single" w:color="DDE2EC" w:sz="8"/>
          <w:bottom w:val="single" w:color="DDE2EC" w:sz="8"/>
          <w:right w:val="single" w:color="DDE2EC" w:sz="8"/>
          <w:insideH w:val="single" w:color="auto" w:sz="4"/>
          <w:insideV w:val="single" w:color="auto" w:sz="4"/>
        </w:tblBorders>
      </w:tblPr>
      <w:tblGrid>
        <w:gridCol w:w="100"/>
        <w:gridCol w:w="100"/>
        <w:gridCol w:w="100"/>
        <w:gridCol w:w="100"/>
        <w:gridCol w:w="100"/>
      </w:tblGrid>
      <w:tr>
        <w:tc>
          <w:tcPr>
            <w:tcW w:type="pct" w:w="52%"/>
            <w:shd w:color="1F3A6E" w:val="solid"/>
            <w:tcMar>
              <w:top w:type="dxa" w:w="63500"/>
              <w:left w:type="dxa" w:w="127000"/>
              <w:bottom w:type="dxa" w:w="63500"/>
              <w:right w:type="dxa" w:w="127000"/>
            </w:tcMar>
          </w:tcPr>
          <w:p>
            <w:pPr>
              <w:spacing w:after="0"/>
            </w:pPr>
            <w:r>
              <w:rPr>
                <w:rFonts w:ascii="Calibri" w:cs="Calibri" w:eastAsia="Calibri" w:hAnsi="Calibri"/>
                <w:b/>
                <w:bCs/>
                <w:color w:val="FFFFFF"/>
                <w:sz w:val="20"/>
                <w:szCs w:val="20"/>
              </w:rPr>
              <w:t xml:space="preserve">Commission a Dynamic Penetration Test (DAST)</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Priority</w:t>
            </w:r>
          </w:p>
        </w:tc>
        <w:tc>
          <w:tcPr>
            <w:tcW w:type="pct" w:w="12%"/>
            <w:shd w:color="F1F3F7" w:val="solid"/>
            <w:tcMar>
              <w:top w:type="dxa" w:w="63500"/>
              <w:left w:type="dxa" w:w="101600"/>
              <w:bottom w:type="dxa" w:w="63500"/>
            </w:tcMar>
          </w:tcPr>
          <w:p>
            <w:pPr>
              <w:spacing w:after="0"/>
            </w:pPr>
            <w:r>
              <w:rPr>
                <w:rFonts w:ascii="Calibri" w:cs="Calibri" w:eastAsia="Calibri" w:hAnsi="Calibri"/>
                <w:b/>
                <w:bCs/>
                <w:color w:val="4A5568"/>
                <w:sz w:val="19"/>
                <w:szCs w:val="19"/>
              </w:rPr>
              <w:t xml:space="preserve">MEDIUM</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Effort</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External</w:t>
            </w:r>
          </w:p>
        </w:tc>
      </w:tr>
      <w:tr>
        <w:tc>
          <w:tcPr>
            <w:gridSpan w:val="5"/>
            <w:tcMar>
              <w:top w:type="dxa" w:w="76200"/>
              <w:left w:type="dxa" w:w="127000"/>
              <w:bottom w:type="dxa" w:w="101600"/>
              <w:right w:type="dxa" w:w="127000"/>
            </w:tcMar>
          </w:tcPr>
          <w:p>
            <w:pPr>
              <w:spacing w:after="0"/>
            </w:pPr>
            <w:r>
              <w:rPr>
                <w:rFonts w:ascii="Calibri" w:cs="Calibri" w:eastAsia="Calibri" w:hAnsi="Calibri"/>
                <w:color w:val="1A202C"/>
                <w:sz w:val="19"/>
                <w:szCs w:val="19"/>
              </w:rPr>
              <w:t xml:space="preserve">This audit covers static code analysis only. A dynamic / runtime penetration test using tools such as OWASP ZAP against the staging environment will detect runtime vulnerabilities not visible in source code — including session fixation, clickjacking bypass, cookie misconfigurations, and API enumeration. This should be completed and remediated before opening registration to the general public.</w:t>
            </w:r>
          </w:p>
        </w:tc>
      </w:tr>
    </w:tbl>
    <w:p>
      <w:pPr>
        <w:spacing w:after="60"/>
      </w:pPr>
      <w:r>
        <w:t xml:space="preserve"> </w:t>
      </w:r>
    </w:p>
    <w:tbl>
      <w:tblPr>
        <w:tblW w:type="pct" w:w="100%"/>
        <w:tblBorders>
          <w:top w:val="single" w:color="DDE2EC" w:sz="8"/>
          <w:left w:val="single" w:color="DDE2EC" w:sz="8"/>
          <w:bottom w:val="single" w:color="DDE2EC" w:sz="8"/>
          <w:right w:val="single" w:color="DDE2EC" w:sz="8"/>
          <w:insideH w:val="single" w:color="auto" w:sz="4"/>
          <w:insideV w:val="single" w:color="auto" w:sz="4"/>
        </w:tblBorders>
      </w:tblPr>
      <w:tblGrid>
        <w:gridCol w:w="100"/>
        <w:gridCol w:w="100"/>
        <w:gridCol w:w="100"/>
        <w:gridCol w:w="100"/>
        <w:gridCol w:w="100"/>
      </w:tblGrid>
      <w:tr>
        <w:tc>
          <w:tcPr>
            <w:tcW w:type="pct" w:w="52%"/>
            <w:shd w:color="1F3A6E" w:val="solid"/>
            <w:tcMar>
              <w:top w:type="dxa" w:w="63500"/>
              <w:left w:type="dxa" w:w="127000"/>
              <w:bottom w:type="dxa" w:w="63500"/>
              <w:right w:type="dxa" w:w="127000"/>
            </w:tcMar>
          </w:tcPr>
          <w:p>
            <w:pPr>
              <w:spacing w:after="0"/>
            </w:pPr>
            <w:r>
              <w:rPr>
                <w:rFonts w:ascii="Calibri" w:cs="Calibri" w:eastAsia="Calibri" w:hAnsi="Calibri"/>
                <w:b/>
                <w:bCs/>
                <w:color w:val="FFFFFF"/>
                <w:sz w:val="20"/>
                <w:szCs w:val="20"/>
              </w:rPr>
              <w:t xml:space="preserve">Legal Review of Privacy Policy for AI Data Processing</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Priority</w:t>
            </w:r>
          </w:p>
        </w:tc>
        <w:tc>
          <w:tcPr>
            <w:tcW w:type="pct" w:w="12%"/>
            <w:shd w:color="F1F3F7" w:val="solid"/>
            <w:tcMar>
              <w:top w:type="dxa" w:w="63500"/>
              <w:left w:type="dxa" w:w="101600"/>
              <w:bottom w:type="dxa" w:w="63500"/>
            </w:tcMar>
          </w:tcPr>
          <w:p>
            <w:pPr>
              <w:spacing w:after="0"/>
            </w:pPr>
            <w:r>
              <w:rPr>
                <w:rFonts w:ascii="Calibri" w:cs="Calibri" w:eastAsia="Calibri" w:hAnsi="Calibri"/>
                <w:b/>
                <w:bCs/>
                <w:color w:val="4A5568"/>
                <w:sz w:val="19"/>
                <w:szCs w:val="19"/>
              </w:rPr>
              <w:t xml:space="preserve">LOW</w:t>
            </w:r>
          </w:p>
        </w:tc>
        <w:tc>
          <w:tcPr>
            <w:tcW w:type="pct" w:w="12%"/>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Effort</w:t>
            </w:r>
          </w:p>
        </w:tc>
        <w:tc>
          <w:tcPr>
            <w:tcW w:type="pct" w:w="12%"/>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Legal counsel</w:t>
            </w:r>
          </w:p>
        </w:tc>
      </w:tr>
      <w:tr>
        <w:tc>
          <w:tcPr>
            <w:gridSpan w:val="5"/>
            <w:tcMar>
              <w:top w:type="dxa" w:w="76200"/>
              <w:left w:type="dxa" w:w="127000"/>
              <w:bottom w:type="dxa" w:w="101600"/>
              <w:right w:type="dxa" w:w="127000"/>
            </w:tcMar>
          </w:tcPr>
          <w:p>
            <w:pPr>
              <w:spacing w:after="0"/>
            </w:pPr>
            <w:r>
              <w:rPr>
                <w:rFonts w:ascii="Calibri" w:cs="Calibri" w:eastAsia="Calibri" w:hAnsi="Calibri"/>
                <w:color w:val="1A202C"/>
                <w:sz w:val="19"/>
                <w:szCs w:val="19"/>
              </w:rPr>
              <w:t xml:space="preserve">The current Privacy Policy may not explicitly cover transmission of financial data to Anthropic AI. Engage legal counsel to review and update the policy to include: (1) what data is processed, (2) which third-party processors receive it, (3) whether consent is required under POPIA for this processing, and (4) how users may request data deletion.</w:t>
            </w:r>
          </w:p>
        </w:tc>
      </w:tr>
    </w:tbl>
    <w:p>
      <w:pPr>
        <w:spacing w:after="60"/>
      </w:pPr>
      <w:r>
        <w:t xml:space="preserve"> </w:t>
      </w:r>
    </w:p>
    <w:p>
      <w:r>
        <w:br w:type="page"/>
      </w:r>
    </w:p>
    <w:p>
      <w:pPr>
        <w:pStyle w:val="Heading1"/>
        <w:shd w:color="1F3A6E" w:val="solid"/>
        <w:spacing w:before="280" w:after="0"/>
        <w:ind w:left="172" w:right="172"/>
        <w:jc w:val="left"/>
      </w:pPr>
      <w:r>
        <w:rPr>
          <w:rFonts w:ascii="Calibri" w:cs="Calibri" w:eastAsia="Calibri" w:hAnsi="Calibri"/>
          <w:b/>
          <w:bCs/>
          <w:color w:val="FFFFFF"/>
          <w:sz w:val="26"/>
          <w:szCs w:val="26"/>
        </w:rPr>
        <w:t xml:space="preserve">7.  Conclusion</w:t>
      </w:r>
    </w:p>
    <w:p>
      <w:pPr>
        <w:spacing w:after="60"/>
      </w:pPr>
      <w:r>
        <w:t xml:space="preserve"> </w:t>
      </w:r>
    </w:p>
    <w:p>
      <w:pPr>
        <w:spacing w:before="0" w:after="100" w:line="276" w:lineRule="auto"/>
      </w:pPr>
      <w:r>
        <w:rPr>
          <w:rFonts w:ascii="Calibri" w:cs="Calibri" w:eastAsia="Calibri" w:hAnsi="Calibri"/>
          <w:color w:val="1A202C"/>
          <w:sz w:val="21"/>
          <w:szCs w:val="21"/>
        </w:rPr>
        <w:t xml:space="preserve">The EDMECA Digital Academy platform demonstrates a solid and well-considered security baseline for a development-stage application. All five issues identified in application code during this audit cycle have been fully remediated. The platform now achieves a score of 9 PASS, 0 FAIL across ten security test categories — with one REVIEW item relating exclusively to third-party dependency CVEs outside direct application control.</w:t>
      </w:r>
    </w:p>
    <w:p>
      <w:pPr>
        <w:spacing w:after="80"/>
      </w:pPr>
      <w:r>
        <w:t xml:space="preserve"> </w:t>
      </w:r>
    </w:p>
    <w:p>
      <w:pPr>
        <w:spacing w:before="0" w:after="100" w:line="276" w:lineRule="auto"/>
      </w:pPr>
      <w:r>
        <w:rPr>
          <w:rFonts w:ascii="Calibri" w:cs="Calibri" w:eastAsia="Calibri" w:hAnsi="Calibri"/>
          <w:color w:val="1A202C"/>
          <w:sz w:val="21"/>
          <w:szCs w:val="21"/>
        </w:rPr>
        <w:t xml:space="preserve">The core security controls are correctly implemented: Supabase JWT authentication, row-level database security, XSS-safe rendering, secrets in environment variables, strict CORS allowlists, and HTTP security headers (HSTS, CSP, Permissions-Policy). These provide a strong security foundation that meets the expected standard for a production-grade educational technology platform.</w:t>
      </w:r>
    </w:p>
    <w:p>
      <w:pPr>
        <w:spacing w:after="80"/>
      </w:pPr>
      <w:r>
        <w:t xml:space="preserve"> </w:t>
      </w:r>
    </w:p>
    <w:p>
      <w:pPr>
        <w:spacing w:before="0" w:after="100" w:line="276" w:lineRule="auto"/>
      </w:pPr>
      <w:r>
        <w:rPr>
          <w:rFonts w:ascii="Calibri" w:cs="Calibri" w:eastAsia="Calibri" w:hAnsi="Calibri"/>
          <w:color w:val="1A202C"/>
          <w:sz w:val="21"/>
          <w:szCs w:val="21"/>
        </w:rPr>
        <w:t xml:space="preserve">The platform is assessed as ready for continued controlled rollout to cohorts and programme participants. The remaining action items — xlsx library replacement, rate limiting, and a POPIA disclosure notice — should be prioritised in the next development sprint. A full dynamic (DAST) penetration test is strongly recommended before opening registration to the general public.</w:t>
      </w:r>
    </w:p>
    <w:p>
      <w:pPr>
        <w:spacing w:after="200"/>
      </w:pPr>
      <w:r>
        <w:t xml:space="preserve"> </w:t>
      </w:r>
    </w:p>
    <w:tbl>
      <w:tblPr>
        <w:tblW w:type="pct" w:w="100%"/>
        <w:tblBorders>
          <w:top w:val="single" w:color="DDE2EC" w:sz="8"/>
          <w:left w:val="single" w:color="DDE2EC" w:sz="8"/>
          <w:bottom w:val="single" w:color="DDE2EC" w:sz="8"/>
          <w:right w:val="single" w:color="DDE2EC" w:sz="8"/>
          <w:insideH w:val="single" w:color="auto" w:sz="4"/>
          <w:insideV w:val="single" w:color="auto" w:sz="4"/>
        </w:tblBorders>
      </w:tblPr>
      <w:tblGrid>
        <w:gridCol w:w="100"/>
        <w:gridCol w:w="100"/>
        <w:gridCol w:w="100"/>
      </w:tblGrid>
      <w:tr>
        <w:tc>
          <w:tcPr>
            <w:tcW w:type="pct" w:w="33%"/>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Prepared By</w:t>
            </w:r>
          </w:p>
        </w:tc>
        <w:tc>
          <w:tcPr>
            <w:tcW w:type="pct" w:w="33%"/>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Role</w:t>
            </w:r>
          </w:p>
        </w:tc>
        <w:tc>
          <w:tcPr>
            <w:tcW w:type="pct" w:w="34%"/>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Date</w:t>
            </w:r>
          </w:p>
        </w:tc>
      </w:tr>
      <w:tr>
        <w:tc>
          <w:tcPr>
            <w:tcW w:type="pct" w:w="33%"/>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X4O Consulting — EDMECA Development Team</w:t>
            </w:r>
          </w:p>
        </w:tc>
        <w:tc>
          <w:tcPr>
            <w:tcW w:type="pct" w:w="33%"/>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Security Audit Team</w:t>
            </w:r>
          </w:p>
        </w:tc>
        <w:tc>
          <w:tcPr>
            <w:tcW w:type="pct" w:w="34%"/>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04 March 2026</w:t>
            </w:r>
          </w:p>
        </w:tc>
      </w:tr>
      <w:tr>
        <w:tc>
          <w:tcPr>
            <w:tcW w:type="pct" w:w="33%"/>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Reviewed For</w:t>
            </w:r>
          </w:p>
        </w:tc>
        <w:tc>
          <w:tcPr>
            <w:tcW w:type="pct" w:w="33%"/>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Organisation</w:t>
            </w:r>
          </w:p>
        </w:tc>
        <w:tc>
          <w:tcPr>
            <w:tcW w:type="pct" w:w="34%"/>
            <w:shd w:color="F1F3F7" w:val="solid"/>
            <w:tcMar>
              <w:top w:type="dxa" w:w="50800"/>
              <w:left w:type="dxa" w:w="101600"/>
              <w:bottom w:type="dxa" w:w="50800"/>
              <w:right w:type="dxa" w:w="101600"/>
            </w:tcMar>
          </w:tcPr>
          <w:p>
            <w:pPr>
              <w:spacing w:after="0"/>
            </w:pPr>
            <w:r>
              <w:rPr>
                <w:rFonts w:ascii="Calibri" w:cs="Calibri" w:eastAsia="Calibri" w:hAnsi="Calibri"/>
                <w:b/>
                <w:bCs/>
                <w:color w:val="1F3A6E"/>
                <w:sz w:val="19"/>
                <w:szCs w:val="19"/>
              </w:rPr>
              <w:t xml:space="preserve">Report Version</w:t>
            </w:r>
          </w:p>
        </w:tc>
      </w:tr>
      <w:tr>
        <w:tc>
          <w:tcPr>
            <w:tcW w:type="pct" w:w="33%"/>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Raymond Crown (Supervisor)</w:t>
            </w:r>
          </w:p>
        </w:tc>
        <w:tc>
          <w:tcPr>
            <w:tcW w:type="pct" w:w="33%"/>
            <w:shd w:color="F8F9FC" w:val="solid"/>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EDMECA Digital Academy</w:t>
            </w:r>
          </w:p>
        </w:tc>
        <w:tc>
          <w:tcPr>
            <w:tcW w:type="pct" w:w="34%"/>
            <w:tcMar>
              <w:top w:type="dxa" w:w="38100"/>
              <w:left w:type="dxa" w:w="101600"/>
              <w:bottom w:type="dxa" w:w="38100"/>
              <w:right w:type="dxa" w:w="101600"/>
            </w:tcMar>
            <w:vAlign w:val="center"/>
          </w:tcPr>
          <w:p>
            <w:pPr>
              <w:spacing w:after="0"/>
              <w:jc w:val="left"/>
            </w:pPr>
            <w:r>
              <w:rPr>
                <w:rFonts w:ascii="Calibri" w:cs="Calibri" w:eastAsia="Calibri" w:hAnsi="Calibri"/>
                <w:b w:val="false"/>
                <w:bCs w:val="false"/>
                <w:color w:val="1A202C"/>
                <w:sz w:val="19"/>
                <w:szCs w:val="19"/>
              </w:rPr>
              <w:t xml:space="preserve">v1.0  ·  04 March 2026</w:t>
            </w:r>
          </w:p>
        </w:tc>
      </w:tr>
    </w:tbl>
    <w:p>
      <w:pPr>
        <w:spacing w:after="200"/>
      </w:pPr>
      <w:r>
        <w:t xml:space="preserve"> </w:t>
      </w:r>
    </w:p>
    <w:p>
      <w:pPr>
        <w:pBdr>
          <w:bottom w:val="single" w:color="D4A017" w:sz="6"/>
        </w:pBdr>
        <w:spacing w:after="160" w:before="40"/>
      </w:pPr>
    </w:p>
    <w:p>
      <w:pPr>
        <w:spacing w:after="0"/>
        <w:jc w:val="center"/>
      </w:pPr>
      <w:r>
        <w:rPr>
          <w:rFonts w:ascii="Calibri" w:cs="Calibri" w:eastAsia="Calibri" w:hAnsi="Calibri"/>
          <w:i/>
          <w:iCs/>
          <w:color w:val="4A5568"/>
          <w:sz w:val="17"/>
          <w:szCs w:val="17"/>
        </w:rPr>
        <w:t xml:space="preserve">EDMECA Digital Academy  ·  Security Audit Report  ·  04 March 2026  ·  </w:t>
      </w:r>
      <w:r>
        <w:rPr>
          <w:rFonts w:ascii="Calibri" w:cs="Calibri" w:eastAsia="Calibri" w:hAnsi="Calibri"/>
          <w:b/>
          <w:bCs/>
          <w:color w:val="991B1B"/>
          <w:sz w:val="17"/>
          <w:szCs w:val="17"/>
        </w:rPr>
        <w:t xml:space="preserve">CONFIDENTIAL</w:t>
      </w:r>
      <w:r>
        <w:rPr>
          <w:rFonts w:ascii="Calibri" w:cs="Calibri" w:eastAsia="Calibri" w:hAnsi="Calibri"/>
          <w:i/>
          <w:iCs/>
          <w:color w:val="4A5568"/>
          <w:sz w:val="17"/>
          <w:szCs w:val="17"/>
        </w:rPr>
        <w:t xml:space="preserve">  ·  Powered by X4O</w:t>
      </w:r>
    </w:p>
    <w:sectPr>
      <w:headerReference w:type="default" r:id="rId6"/>
      <w:footerReference w:type="default" r:id="rId7"/>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DDE2EC" w:sz="4"/>
        <w:left w:val="none" w:color="auto" w:sz="0"/>
        <w:bottom w:val="none" w:color="auto" w:sz="0"/>
        <w:right w:val="none" w:color="auto" w:sz="0"/>
        <w:insideH w:val="single" w:color="auto" w:sz="4"/>
        <w:insideV w:val="single" w:color="auto" w:sz="4"/>
      </w:tblBorders>
    </w:tblPr>
    <w:tblGrid>
      <w:gridCol w:w="100"/>
      <w:gridCol w:w="100"/>
    </w:tblGrid>
    <w:tr>
      <w:tc>
        <w:tcPr>
          <w:tcW w:type="pct" w:w="60%"/>
          <w:tcMar>
            <w:top w:type="dxa" w:w="50800"/>
          </w:tcMar>
        </w:tcPr>
        <w:p>
          <w:pPr>
            <w:spacing w:after="0"/>
          </w:pPr>
          <w:r>
            <w:rPr>
              <w:rFonts w:ascii="Calibri" w:cs="Calibri" w:eastAsia="Calibri" w:hAnsi="Calibri"/>
              <w:i/>
              <w:iCs/>
              <w:color w:val="4A5568"/>
              <w:sz w:val="16"/>
              <w:szCs w:val="16"/>
            </w:rPr>
            <w:t xml:space="preserve">EDMECA Digital Academy  ·  04 March 2026  ·  Powered by X4O</w:t>
          </w:r>
        </w:p>
      </w:tc>
      <w:tc>
        <w:tcPr>
          <w:tcW w:type="pct" w:w="40%"/>
          <w:tcMar>
            <w:top w:type="dxa" w:w="50800"/>
          </w:tcMar>
        </w:tcPr>
        <w:p>
          <w:pPr>
            <w:spacing w:after="0"/>
            <w:jc w:val="right"/>
          </w:pPr>
          <w:r>
            <w:rPr>
              <w:rFonts w:ascii="Calibri" w:cs="Calibri" w:eastAsia="Calibri" w:hAnsi="Calibri"/>
              <w:color w:val="4A5568"/>
              <w:sz w:val="16"/>
              <w:szCs w:val="16"/>
            </w:rPr>
            <w:t xml:space="preserve">Page </w:t>
          </w:r>
          <w:r>
            <w:rPr>
              <w:rFonts w:ascii="Calibri" w:cs="Calibri" w:eastAsia="Calibri" w:hAnsi="Calibri"/>
              <w:color w:val="1F3A6E"/>
              <w:sz w:val="16"/>
              <w:szCs w:val="16"/>
            </w:rPr>
            <w:fldChar w:fldCharType="begin"/>
            <w:instrText xml:space="preserve">PAGE</w:instrText>
            <w:fldChar w:fldCharType="separate"/>
            <w:fldChar w:fldCharType="end"/>
          </w:r>
          <w:r>
            <w:rPr>
              <w:rFonts w:ascii="Calibri" w:cs="Calibri" w:eastAsia="Calibri" w:hAnsi="Calibri"/>
              <w:color w:val="4A5568"/>
              <w:sz w:val="16"/>
              <w:szCs w:val="16"/>
            </w:rPr>
            <w:t xml:space="preserve"> of </w:t>
          </w:r>
          <w:r>
            <w:rPr>
              <w:rFonts w:ascii="Calibri" w:cs="Calibri" w:eastAsia="Calibri" w:hAnsi="Calibri"/>
              <w:color w:val="1F3A6E"/>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auto" w:sz="0"/>
        <w:left w:val="none" w:color="auto" w:sz="0"/>
        <w:bottom w:val="single" w:color="DDE2EC" w:sz="4"/>
        <w:right w:val="none" w:color="auto" w:sz="0"/>
        <w:insideH w:val="single" w:color="auto" w:sz="4"/>
        <w:insideV w:val="single" w:color="auto" w:sz="4"/>
      </w:tblBorders>
    </w:tblPr>
    <w:tblGrid>
      <w:gridCol w:w="100"/>
      <w:gridCol w:w="100"/>
    </w:tblGrid>
    <w:tr>
      <w:tc>
        <w:tcPr>
          <w:tcW w:type="pct" w:w="50%"/>
          <w:tcMar>
            <w:bottom w:type="dxa" w:w="50800"/>
          </w:tcMar>
        </w:tcPr>
        <w:p>
          <w:pPr>
            <w:spacing w:after="0"/>
          </w:pPr>
          <w:r>
            <w:drawing>
              <wp:inline distT="0" distB="0" distL="0" distR="0">
                <wp:extent cx="9580626000" cy="538910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80626000" cy="5389102125"/>
                        </a:xfrm>
                        <a:prstGeom prst="rect">
                          <a:avLst/>
                        </a:prstGeom>
                      </pic:spPr>
                    </pic:pic>
                  </a:graphicData>
                </a:graphic>
              </wp:inline>
            </w:drawing>
          </w:r>
        </w:p>
      </w:tc>
      <w:tc>
        <w:tcPr>
          <w:tcW w:type="pct" w:w="50%"/>
          <w:tcMar>
            <w:bottom w:type="dxa" w:w="50800"/>
          </w:tcMar>
          <w:vAlign w:val="bottom"/>
        </w:tcPr>
        <w:p>
          <w:pPr>
            <w:spacing w:after="0"/>
            <w:jc w:val="right"/>
          </w:pPr>
          <w:r>
            <w:rPr>
              <w:rFonts w:ascii="Calibri" w:cs="Calibri" w:eastAsia="Calibri" w:hAnsi="Calibri"/>
              <w:i/>
              <w:iCs/>
              <w:color w:val="4A5568"/>
              <w:sz w:val="17"/>
              <w:szCs w:val="17"/>
            </w:rPr>
            <w:t xml:space="preserve">Security Audit Report  ·  CONFIDENTIAL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Calibri" w:cs="Calibri" w:eastAsia="Calibri" w:hAnsi="Calibri"/>
      <w:color w:val="1A202C"/>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00343ef0a5ef07bc1137001a289157b1219d551.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00343ef0a5ef07bc1137001a289157b1219d55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EDMECA Digital Academy — Security Audit Report</dc:title>
  <dc:creator>X4O Consulting</dc:creator>
  <dc:description>Application Security Assessment</dc:description>
  <cp:lastModifiedBy>Un-named</cp:lastModifiedBy>
  <cp:revision>1</cp:revision>
  <dcterms:created xsi:type="dcterms:W3CDTF">2026-03-04T11:17:09.480Z</dcterms:created>
  <dcterms:modified xsi:type="dcterms:W3CDTF">2026-03-04T11:17:09.480Z</dcterms:modified>
</cp:coreProperties>
</file>

<file path=docProps/custom.xml><?xml version="1.0" encoding="utf-8"?>
<Properties xmlns="http://schemas.openxmlformats.org/officeDocument/2006/custom-properties" xmlns:vt="http://schemas.openxmlformats.org/officeDocument/2006/docPropsVTypes"/>
</file>