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shd w:color="1F3A6E" w:val="solid"/>
            <w:tcMar>
              <w:top w:type="dxa" w:w="360"/>
              <w:left w:type="dxa" w:w="400"/>
              <w:bottom w:type="dxa" w:w="360"/>
              <w:right w:type="dxa" w:w="400"/>
            </w:tcMar>
          </w:tcPr>
          <w:p>
            <w:pPr>
              <w:spacing w:after="0"/>
            </w:pPr>
            <w:r>
              <w:rPr>
                <w:rFonts w:ascii="Calibri" w:cs="Calibri" w:eastAsia="Calibri" w:hAnsi="Calibri"/>
                <w:b/>
                <w:bCs/>
                <w:color w:val="D4A017"/>
                <w:spacing w:val="200"/>
                <w:sz w:val="16"/>
                <w:szCs w:val="16"/>
              </w:rPr>
              <w:t xml:space="preserve">CONFIDENTIAL</w:t>
            </w:r>
          </w:p>
        </w:tc>
      </w:tr>
    </w:tbl>
    <w:p>
      <w:pPr>
        <w:spacing w:after="240"/>
      </w:pPr>
      <w:r>
        <w:t xml:space="preserve"> </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40%"/>
            <w:tcMar>
              <w:top w:type="dxa" w:w="320"/>
              <w:bottom w:type="dxa" w:w="160"/>
              <w:right w:type="dxa" w:w="320"/>
            </w:tcMar>
          </w:tcPr>
          <w:p>
            <w:pPr>
              <w:spacing w:after="0"/>
              <w:jc w:val="left"/>
            </w:pPr>
            <w:r>
              <w:drawing>
                <wp:inline distT="0" distB="0" distL="0" distR="0">
                  <wp:extent cx="2009775" cy="1133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09775" cy="1133475"/>
                          </a:xfrm>
                          <a:prstGeom prst="rect">
                            <a:avLst/>
                          </a:prstGeom>
                        </pic:spPr>
                      </pic:pic>
                    </a:graphicData>
                  </a:graphic>
                </wp:inline>
              </w:drawing>
            </w:r>
          </w:p>
        </w:tc>
        <w:tc>
          <w:tcPr>
            <w:tcW w:type="pct" w:w="60%"/>
            <w:tcMar>
              <w:top w:type="dxa" w:w="320"/>
              <w:left w:type="dxa" w:w="320"/>
              <w:bottom w:type="dxa" w:w="160"/>
            </w:tcMar>
            <w:vAlign w:val="bottom"/>
          </w:tcPr>
          <w:p>
            <w:pPr>
              <w:spacing w:after="60"/>
            </w:pPr>
            <w:r>
              <w:rPr>
                <w:rFonts w:ascii="Calibri" w:cs="Calibri" w:eastAsia="Calibri" w:hAnsi="Calibri"/>
                <w:b/>
                <w:bCs/>
                <w:color w:val="1F3A6E"/>
                <w:sz w:val="44"/>
                <w:szCs w:val="44"/>
              </w:rPr>
              <w:t xml:space="preserve">Security Audit Report</w:t>
            </w:r>
          </w:p>
          <w:p>
            <w:pPr>
              <w:spacing w:after="40"/>
            </w:pPr>
            <w:r>
              <w:rPr>
                <w:rFonts w:ascii="Calibri" w:cs="Calibri" w:eastAsia="Calibri" w:hAnsi="Calibri"/>
                <w:color w:val="4A5568"/>
                <w:sz w:val="26"/>
                <w:szCs w:val="26"/>
              </w:rPr>
              <w:t xml:space="preserve">EDMECA Digital Academy</w:t>
            </w:r>
          </w:p>
        </w:tc>
      </w:tr>
    </w:tbl>
    <w:p>
      <w:pPr>
        <w:spacing w:after="80"/>
      </w:pPr>
      <w:r>
        <w:t xml:space="preserve"> </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shd w:color="D4A017" w:val="solid"/>
            <w:tcMar>
              <w:top w:type="dxa" w:w="40"/>
              <w:bottom w:type="dxa" w:w="40"/>
            </w:tcMar>
          </w:tcPr>
          <w:p>
            <w:pPr>
              <w:spacing w:after="0"/>
            </w:pPr>
            <w:r>
              <w:t xml:space="preserve"/>
            </w:r>
          </w:p>
        </w:tc>
      </w:tr>
    </w:tbl>
    <w:p>
      <w:pPr>
        <w:spacing w:after="28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tblGrid>
      <w:tr>
        <w:tc>
          <w:tcPr>
            <w:tcW w:type="pct" w:w="28%"/>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Report Title</w:t>
            </w:r>
          </w:p>
        </w:tc>
        <w:tc>
          <w:tcPr>
            <w:tcW w:type="pct" w:w="7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Security Audit Report — Application Security Assessment</w:t>
            </w:r>
          </w:p>
        </w:tc>
      </w:tr>
      <w:tr>
        <w:tc>
          <w:tcPr>
            <w:tcW w:type="pct" w:w="28%"/>
            <w:shd w:color="F8F9FC"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Client</w:t>
            </w:r>
          </w:p>
        </w:tc>
        <w:tc>
          <w:tcPr>
            <w:tcW w:type="pct" w:w="7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EDMECA Digital Academy</w:t>
            </w:r>
          </w:p>
        </w:tc>
      </w:tr>
      <w:tr>
        <w:tc>
          <w:tcPr>
            <w:tcW w:type="pct" w:w="28%"/>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Prepared By</w:t>
            </w:r>
          </w:p>
        </w:tc>
        <w:tc>
          <w:tcPr>
            <w:tcW w:type="pct" w:w="7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X4O Consulting — EDMECA Development Team</w:t>
            </w:r>
          </w:p>
        </w:tc>
      </w:tr>
      <w:tr>
        <w:tc>
          <w:tcPr>
            <w:tcW w:type="pct" w:w="28%"/>
            <w:shd w:color="F8F9FC"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Report Date</w:t>
            </w:r>
          </w:p>
        </w:tc>
        <w:tc>
          <w:tcPr>
            <w:tcW w:type="pct" w:w="7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04 March 2026</w:t>
            </w:r>
          </w:p>
        </w:tc>
      </w:tr>
      <w:tr>
        <w:tc>
          <w:tcPr>
            <w:tcW w:type="pct" w:w="28%"/>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Audit Scope</w:t>
            </w:r>
          </w:p>
        </w:tc>
        <w:tc>
          <w:tcPr>
            <w:tcW w:type="pct" w:w="7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Web Application · API Functions · Database · Infrastructure · Dependencies</w:t>
            </w:r>
          </w:p>
        </w:tc>
      </w:tr>
      <w:tr>
        <w:tc>
          <w:tcPr>
            <w:tcW w:type="pct" w:w="28%"/>
            <w:shd w:color="F8F9FC"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Overall Risk Rating</w:t>
            </w:r>
          </w:p>
        </w:tc>
        <w:tc>
          <w:tcPr>
            <w:tcW w:type="pct" w:w="72%"/>
            <w:shd w:color="DCFCE7" w:val="solid"/>
            <w:tcMar>
              <w:top w:type="dxa" w:w="60"/>
              <w:left w:type="dxa" w:w="160"/>
              <w:bottom w:type="dxa" w:w="60"/>
              <w:right w:type="dxa" w:w="160"/>
            </w:tcMar>
            <w:vAlign w:val="center"/>
          </w:tcPr>
          <w:p>
            <w:pPr>
              <w:spacing w:after="0"/>
              <w:jc w:val="left"/>
            </w:pPr>
            <w:r>
              <w:rPr>
                <w:rFonts w:ascii="Calibri" w:cs="Calibri" w:eastAsia="Calibri" w:hAnsi="Calibri"/>
                <w:b/>
                <w:bCs/>
                <w:color w:val="166534"/>
                <w:sz w:val="19"/>
                <w:szCs w:val="19"/>
              </w:rPr>
              <w:t xml:space="preserve">LOW — No critical or high-severity vulnerabilities remain in application code</w:t>
            </w:r>
          </w:p>
        </w:tc>
      </w:tr>
      <w:tr>
        <w:tc>
          <w:tcPr>
            <w:tcW w:type="pct" w:w="28%"/>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Classification</w:t>
            </w:r>
          </w:p>
        </w:tc>
        <w:tc>
          <w:tcPr>
            <w:tcW w:type="pct" w:w="72%"/>
            <w:tcMar>
              <w:top w:type="dxa" w:w="60"/>
              <w:left w:type="dxa" w:w="160"/>
              <w:bottom w:type="dxa" w:w="60"/>
              <w:right w:type="dxa" w:w="160"/>
            </w:tcMar>
            <w:vAlign w:val="center"/>
          </w:tcPr>
          <w:p>
            <w:pPr>
              <w:spacing w:after="0"/>
              <w:jc w:val="left"/>
            </w:pPr>
            <w:r>
              <w:rPr>
                <w:rFonts w:ascii="Calibri" w:cs="Calibri" w:eastAsia="Calibri" w:hAnsi="Calibri"/>
                <w:b/>
                <w:bCs/>
                <w:color w:val="991B1B"/>
                <w:sz w:val="19"/>
                <w:szCs w:val="19"/>
              </w:rPr>
              <w:t xml:space="preserve">CONFIDENTIAL — For authorised stakeholders only</w:t>
            </w:r>
          </w:p>
        </w:tc>
      </w:tr>
    </w:tbl>
    <w:p>
      <w:pPr>
        <w:spacing w:after="400"/>
      </w:pPr>
      <w:r>
        <w:t xml:space="preserve"> </w:t>
      </w:r>
    </w:p>
    <w:p>
      <w:pPr>
        <w:pBdr>
          <w:top w:val="single" w:color="DDE2EC" w:sz="4"/>
        </w:pBdr>
        <w:spacing w:after="0"/>
      </w:pPr>
      <w:r>
        <w:rPr>
          <w:rFonts w:ascii="Calibri" w:cs="Calibri" w:eastAsia="Calibri" w:hAnsi="Calibri"/>
          <w:i/>
          <w:iCs/>
          <w:color w:val="4A5568"/>
          <w:sz w:val="17"/>
          <w:szCs w:val="17"/>
        </w:rPr>
        <w:t xml:space="preserve">This report has been prepared by X4O Consulting on behalf of EDMECA Digital Academy. </w:t>
      </w:r>
      <w:r>
        <w:rPr>
          <w:rFonts w:ascii="Calibri" w:cs="Calibri" w:eastAsia="Calibri" w:hAnsi="Calibri"/>
          <w:i/>
          <w:iCs/>
          <w:color w:val="4A5568"/>
          <w:sz w:val="17"/>
          <w:szCs w:val="17"/>
        </w:rPr>
        <w:t xml:space="preserve">It contains confidential information, including vulnerability assessments and remediation details. </w:t>
      </w:r>
      <w:r>
        <w:rPr>
          <w:rFonts w:ascii="Calibri" w:cs="Calibri" w:eastAsia="Calibri" w:hAnsi="Calibri"/>
          <w:i/>
          <w:iCs/>
          <w:color w:val="4A5568"/>
          <w:sz w:val="17"/>
          <w:szCs w:val="17"/>
        </w:rPr>
        <w:t xml:space="preserve">Distribution must be limited to authorised personnel involved in application development, security oversight, and management.</w:t>
      </w:r>
    </w:p>
    <w:p>
      <w:r>
        <w:br w:type="page"/>
      </w:r>
    </w:p>
    <w:p>
      <w:pPr>
        <w:pStyle w:val="Heading1"/>
        <w:shd w:color="1F3A6E" w:val="solid"/>
        <w:spacing w:before="280" w:after="0"/>
        <w:ind w:left="172" w:right="172"/>
        <w:jc w:val="left"/>
      </w:pPr>
      <w:r>
        <w:rPr>
          <w:rFonts w:ascii="Calibri" w:cs="Calibri" w:eastAsia="Calibri" w:hAnsi="Calibri"/>
          <w:b/>
          <w:bCs/>
          <w:color w:val="FFFFFF"/>
          <w:sz w:val="26"/>
          <w:szCs w:val="26"/>
        </w:rPr>
        <w:t xml:space="preserve">1.  Executive Summary</w:t>
      </w:r>
    </w:p>
    <w:p>
      <w:pPr>
        <w:spacing w:after="60"/>
      </w:pPr>
      <w:r>
        <w:t xml:space="preserve"> </w:t>
      </w:r>
    </w:p>
    <w:p>
      <w:pPr>
        <w:spacing w:before="0" w:after="100" w:line="276" w:lineRule="auto"/>
      </w:pPr>
      <w:r>
        <w:rPr>
          <w:rFonts w:ascii="Calibri" w:cs="Calibri" w:eastAsia="Calibri" w:hAnsi="Calibri"/>
          <w:color w:val="1A202C"/>
          <w:sz w:val="21"/>
          <w:szCs w:val="21"/>
        </w:rPr>
        <w:t xml:space="preserve">This report presents the findings of a structured application security audit conducted against the EDMECA Digital Academy platform on 04 March 2026. The assessment was performed by the X4O Consulting development team and covers the full application stack: frontend web application, server-side API functions, database access controls, third-party software components, and deployment configuration.</w:t>
      </w:r>
    </w:p>
    <w:p>
      <w:pPr>
        <w:spacing w:after="40"/>
      </w:pPr>
      <w:r>
        <w:t xml:space="preserve"> </w:t>
      </w:r>
    </w:p>
    <w:p>
      <w:pPr>
        <w:spacing w:before="0" w:after="100" w:line="276" w:lineRule="auto"/>
      </w:pPr>
      <w:r>
        <w:rPr>
          <w:rFonts w:ascii="Calibri" w:cs="Calibri" w:eastAsia="Calibri" w:hAnsi="Calibri"/>
          <w:color w:val="1A202C"/>
          <w:sz w:val="21"/>
          <w:szCs w:val="21"/>
        </w:rPr>
        <w:t xml:space="preserve">The audit identified nine areas requiring attention. All issues within direct application code have been fully remediated during this audit cycle. No critical or high-severity vulnerabilities remain in application code. One medium-severity concern in a third-party dependency (SheetJS/xlsx) persists due to the absence of an upstream fix; a replacement plan is documented in the recommendations section.</w:t>
      </w:r>
    </w:p>
    <w:p>
      <w:pPr>
        <w:spacing w:after="120"/>
      </w:pPr>
      <w:r>
        <w:t xml:space="preserve"> </w:t>
      </w:r>
    </w:p>
    <w:p>
      <w:pPr>
        <w:pStyle w:val="Heading2"/>
        <w:pBdr>
          <w:bottom w:val="single" w:color="DDE2EC" w:sz="4"/>
        </w:pBdr>
        <w:spacing w:before="240" w:after="80"/>
      </w:pPr>
      <w:r>
        <w:rPr>
          <w:rFonts w:ascii="Calibri" w:cs="Calibri" w:eastAsia="Calibri" w:hAnsi="Calibri"/>
          <w:b/>
          <w:bCs/>
          <w:color w:val="D4A017"/>
          <w:sz w:val="22"/>
          <w:szCs w:val="22"/>
        </w:rPr>
        <w:t xml:space="preserve">1.1  </w:t>
      </w:r>
      <w:r>
        <w:rPr>
          <w:rFonts w:ascii="Calibri" w:cs="Calibri" w:eastAsia="Calibri" w:hAnsi="Calibri"/>
          <w:b/>
          <w:bCs/>
          <w:color w:val="1F3A6E"/>
          <w:sz w:val="22"/>
          <w:szCs w:val="22"/>
        </w:rPr>
        <w:t xml:space="preserve">Audit Scorecard</w:t>
      </w:r>
    </w:p>
    <w:tbl>
      <w:tblPr>
        <w:tblW w:type="pct" w:w="100%"/>
        <w:tblBorders>
          <w:top w:val="single" w:color="1F3A6E" w:sz="8"/>
          <w:left w:val="single" w:color="1F3A6E" w:sz="8"/>
          <w:bottom w:val="single" w:color="1F3A6E" w:sz="8"/>
          <w:right w:val="single" w:color="1F3A6E" w:sz="8"/>
          <w:insideH w:val="single" w:color="auto" w:sz="4"/>
          <w:insideV w:val="single" w:color="auto" w:sz="4"/>
        </w:tblBorders>
      </w:tblPr>
      <w:tblGrid>
        <w:gridCol w:w="100"/>
        <w:gridCol w:w="100"/>
        <w:gridCol w:w="100"/>
        <w:gridCol w:w="100"/>
      </w:tblGrid>
      <w:tr>
        <w:tc>
          <w:tcPr>
            <w:tcW w:type="pct" w:w="38%"/>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Security Domain</w:t>
            </w:r>
          </w:p>
        </w:tc>
        <w:tc>
          <w:tcPr>
            <w:tcW w:type="pct" w:w="17%"/>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Status</w:t>
            </w:r>
          </w:p>
        </w:tc>
        <w:tc>
          <w:tcPr>
            <w:tcW w:type="pct" w:w="15%"/>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Risk</w:t>
            </w:r>
          </w:p>
        </w:tc>
        <w:tc>
          <w:tcPr>
            <w:tcW w:type="pct" w:w="30%"/>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Action Taken</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User Authentication &amp; Session Management</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Supabase JWT — no action required</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Database Row-Level Security</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RLS enabled on all tables; write policies clarified</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Secrets &amp; Credential Management</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No hardcoded secrets in codebase</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Cross-Site Scripting (XSS)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dangerouslySetInnerHTML removed; Blob URL pattern adopted</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API &amp; CORS Configuration</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Strict origin allowlist on all functions</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HTTP Security Headers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HSTS, CSP, Permissions-Policy added</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Contact Form (PII Logging)</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PII logging removed from server logs</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Admin Endpoint Security</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Secret moved from URL param to header-only</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Input Sanitisation (AI Prompts)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PASS</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None</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companyName sanitised; max 200 chars enforced</w:t>
            </w:r>
          </w:p>
        </w:tc>
      </w:tr>
      <w:tr>
        <w:tc>
          <w:tcPr>
            <w:tcW w:type="pct" w:w="38%"/>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Third-Party Dependencies</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REVIEW</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tcW w:type="pct" w:w="3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xlsx (no upstream fix); @vercel/node upgrade planned</w:t>
            </w:r>
          </w:p>
        </w:tc>
      </w:tr>
    </w:tbl>
    <w:p>
      <w:pPr>
        <w:spacing w:after="120"/>
      </w:pPr>
      <w:r>
        <w:t xml:space="preserve"> </w:t>
      </w:r>
    </w:p>
    <w:p>
      <w:pPr>
        <w:pBdr>
          <w:left w:val="single" w:color="1F3A6E" w:sz="16"/>
        </w:pBdr>
        <w:shd w:color="EEF2FB" w:val="solid"/>
        <w:spacing w:before="120" w:after="160"/>
        <w:ind w:left="215" w:right="215"/>
      </w:pPr>
      <w:r>
        <w:rPr>
          <w:rFonts w:ascii="Calibri" w:cs="Calibri" w:eastAsia="Calibri" w:hAnsi="Calibri"/>
          <w:i/>
          <w:iCs/>
          <w:color w:val="1F3A6E"/>
          <w:sz w:val="20"/>
          <w:szCs w:val="20"/>
        </w:rPr>
        <w:t xml:space="preserve">Overall Security Posture: GOOD  |  9 of 10 checks passing  |  0 critical / 0 high vulnerabilities in application code  |  NaN</w:t>
      </w:r>
    </w:p>
    <w:p>
      <w:r>
        <w:br w:type="page"/>
      </w:r>
    </w:p>
    <w:p>
      <w:pPr>
        <w:pStyle w:val="Heading1"/>
        <w:shd w:color="1F3A6E" w:val="solid"/>
        <w:spacing w:before="280" w:after="0"/>
        <w:ind w:left="172" w:right="172"/>
        <w:jc w:val="left"/>
      </w:pPr>
      <w:r>
        <w:rPr>
          <w:rFonts w:ascii="Calibri" w:cs="Calibri" w:eastAsia="Calibri" w:hAnsi="Calibri"/>
          <w:b/>
          <w:bCs/>
          <w:color w:val="FFFFFF"/>
          <w:sz w:val="26"/>
          <w:szCs w:val="26"/>
        </w:rPr>
        <w:t xml:space="preserve">2.  Scope &amp; Methodology</w:t>
      </w:r>
    </w:p>
    <w:p>
      <w:pPr>
        <w:spacing w:after="60"/>
      </w:pPr>
      <w:r>
        <w:t xml:space="preserve"> </w:t>
      </w:r>
    </w:p>
    <w:p>
      <w:pPr>
        <w:pStyle w:val="Heading2"/>
        <w:pBdr>
          <w:bottom w:val="single" w:color="DDE2EC" w:sz="4"/>
        </w:pBdr>
        <w:spacing w:before="240" w:after="80"/>
      </w:pPr>
      <w:r>
        <w:rPr>
          <w:rFonts w:ascii="Calibri" w:cs="Calibri" w:eastAsia="Calibri" w:hAnsi="Calibri"/>
          <w:b/>
          <w:bCs/>
          <w:color w:val="D4A017"/>
          <w:sz w:val="22"/>
          <w:szCs w:val="22"/>
        </w:rPr>
        <w:t xml:space="preserve">2.1  </w:t>
      </w:r>
      <w:r>
        <w:rPr>
          <w:rFonts w:ascii="Calibri" w:cs="Calibri" w:eastAsia="Calibri" w:hAnsi="Calibri"/>
          <w:b/>
          <w:bCs/>
          <w:color w:val="1F3A6E"/>
          <w:sz w:val="22"/>
          <w:szCs w:val="22"/>
        </w:rPr>
        <w:t xml:space="preserve">Components Assessed</w:t>
      </w:r>
    </w:p>
    <w:tbl>
      <w:tblPr>
        <w:tblW w:type="pct" w:w="100%"/>
        <w:tblBorders>
          <w:top w:val="single" w:color="1F3A6E" w:sz="8"/>
          <w:left w:val="single" w:color="1F3A6E" w:sz="8"/>
          <w:bottom w:val="single" w:color="1F3A6E" w:sz="8"/>
          <w:right w:val="single" w:color="1F3A6E" w:sz="8"/>
          <w:insideH w:val="single" w:color="auto" w:sz="4"/>
          <w:insideV w:val="single" w:color="auto" w:sz="4"/>
        </w:tblBorders>
      </w:tblPr>
      <w:tblGrid>
        <w:gridCol w:w="100"/>
        <w:gridCol w:w="100"/>
        <w:gridCol w:w="100"/>
      </w:tblGrid>
      <w:tr>
        <w:tc>
          <w:tcPr>
            <w:tcW w:type="pct" w:w="32%"/>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Component</w:t>
            </w:r>
          </w:p>
        </w:tc>
        <w:tc>
          <w:tcPr>
            <w:tcW w:type="pct" w:w="48%"/>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Description</w:t>
            </w:r>
          </w:p>
        </w:tc>
        <w:tc>
          <w:tcPr>
            <w:tcW w:type="pct" w:w="20%"/>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Files Examined</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Frontend Web Application</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React + TypeScript SPA (Vite). All pages, components, hooks, and utility libraries.</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89 source files</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AI Financial Analysis API</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Vercel serverless function. Receives uploaded documents, calls Anthropic Claude API.</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api/analyze-financials.ts</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Contact Form Function</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Netlify function. Receives public enquiries, stores to Supabase.</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netlify/functions/contact.ts</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AI Business Advisor (Chat)</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Netlify function. Chat interface powered by Groq llama-3.1-8b-instant.</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netlify/functions/chat.ts</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CDN Cache Management</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Netlify admin function. Protected by secret header.</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netlify/functions/purge-cdn.ts</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Database (Supabase)</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PostgreSQL + PostgREST. All tables, RLS policies, and migration scripts.</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supabase/migrations/*.sql</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Authentication</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Supabase Auth — email/password and Google OAuth.</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client/src/hooks/use-auth.ts</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Deployment Configuration</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Netlify config, response headers, branch/env strategy.</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netlify.toml</w:t>
            </w:r>
          </w:p>
        </w:tc>
      </w:tr>
      <w:tr>
        <w:tc>
          <w:tcPr>
            <w:tcW w:type="pct" w:w="3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Third-Party Dependencies</w:t>
            </w:r>
          </w:p>
        </w:tc>
        <w:tc>
          <w:tcPr>
            <w:tcW w:type="pct" w:w="4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All 675 npm packages — scanned via npm audit against GitHub Advisory Database.</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package.json + lock file</w:t>
            </w:r>
          </w:p>
        </w:tc>
      </w:tr>
    </w:tbl>
    <w:p>
      <w:pPr>
        <w:spacing w:after="120"/>
      </w:pPr>
      <w:r>
        <w:t xml:space="preserve"> </w:t>
      </w:r>
    </w:p>
    <w:p>
      <w:pPr>
        <w:pStyle w:val="Heading2"/>
        <w:pBdr>
          <w:bottom w:val="single" w:color="DDE2EC" w:sz="4"/>
        </w:pBdr>
        <w:spacing w:before="240" w:after="80"/>
      </w:pPr>
      <w:r>
        <w:rPr>
          <w:rFonts w:ascii="Calibri" w:cs="Calibri" w:eastAsia="Calibri" w:hAnsi="Calibri"/>
          <w:b/>
          <w:bCs/>
          <w:color w:val="D4A017"/>
          <w:sz w:val="22"/>
          <w:szCs w:val="22"/>
        </w:rPr>
        <w:t xml:space="preserve">2.2  </w:t>
      </w:r>
      <w:r>
        <w:rPr>
          <w:rFonts w:ascii="Calibri" w:cs="Calibri" w:eastAsia="Calibri" w:hAnsi="Calibri"/>
          <w:b/>
          <w:bCs/>
          <w:color w:val="1F3A6E"/>
          <w:sz w:val="22"/>
          <w:szCs w:val="22"/>
        </w:rPr>
        <w:t xml:space="preserve">Testing Methodology</w:t>
      </w:r>
    </w:p>
    <w:tbl>
      <w:tblPr>
        <w:tblW w:type="pct" w:w="100%"/>
        <w:tblBorders>
          <w:top w:val="single" w:color="1F3A6E" w:sz="8"/>
          <w:left w:val="single" w:color="1F3A6E" w:sz="8"/>
          <w:bottom w:val="single" w:color="1F3A6E" w:sz="8"/>
          <w:right w:val="single" w:color="1F3A6E" w:sz="8"/>
          <w:insideH w:val="single" w:color="auto" w:sz="4"/>
          <w:insideV w:val="single" w:color="auto" w:sz="4"/>
        </w:tblBorders>
      </w:tblPr>
      <w:tblGrid>
        <w:gridCol w:w="100"/>
        <w:gridCol w:w="100"/>
        <w:gridCol w:w="100"/>
      </w:tblGrid>
      <w:tr>
        <w:tc>
          <w:tcPr>
            <w:tcW w:type="pct" w:w="25%"/>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Technique</w:t>
            </w:r>
          </w:p>
        </w:tc>
        <w:tc>
          <w:tcPr>
            <w:tcW w:type="pct" w:w="55%"/>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Description</w:t>
            </w:r>
          </w:p>
        </w:tc>
        <w:tc>
          <w:tcPr>
            <w:tcW w:type="pct" w:w="20%"/>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Tools</w:t>
            </w:r>
          </w:p>
        </w:tc>
      </w:tr>
      <w:tr>
        <w:tc>
          <w:tcPr>
            <w:tcW w:type="pct" w:w="25%"/>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Static Analysis</w:t>
            </w:r>
          </w:p>
        </w:tc>
        <w:tc>
          <w:tcPr>
            <w:tcW w:type="pct" w:w="5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Regex-based pattern scanning of all source files for known vulnerability signatures aligned with OWASP Top 10 (2021).</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Custom audit script</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Dependency Scanning</w:t>
            </w:r>
          </w:p>
        </w:tc>
        <w:tc>
          <w:tcPr>
            <w:tcW w:type="pct" w:w="55%"/>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npm audit cross-referenced against the GitHub Advisory Database and npm security feed for CVE / GHSA advisories.</w:t>
            </w:r>
          </w:p>
        </w:tc>
        <w:tc>
          <w:tcPr>
            <w:tcW w:type="pct" w:w="2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npm audit --json</w:t>
            </w:r>
          </w:p>
        </w:tc>
      </w:tr>
      <w:tr>
        <w:tc>
          <w:tcPr>
            <w:tcW w:type="pct" w:w="25%"/>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Manual Code Review</w:t>
            </w:r>
          </w:p>
        </w:tc>
        <w:tc>
          <w:tcPr>
            <w:tcW w:type="pct" w:w="5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Line-by-line review of all server-side functions, authentication hooks, CORS configuration, and database migration scripts.</w:t>
            </w:r>
          </w:p>
        </w:tc>
        <w:tc>
          <w:tcPr>
            <w:tcW w:type="pct" w:w="20%"/>
            <w:shd w:color="F1F3F7"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Developer review</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Configuration Review</w:t>
            </w:r>
          </w:p>
        </w:tc>
        <w:tc>
          <w:tcPr>
            <w:tcW w:type="pct" w:w="55%"/>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Inspection of netlify.toml, vercel.json, and Supabase RLS policies for security misconfigurations and missing controls.</w:t>
            </w:r>
          </w:p>
        </w:tc>
        <w:tc>
          <w:tcPr>
            <w:tcW w:type="pct" w:w="20%"/>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Manual inspection</w:t>
            </w:r>
          </w:p>
        </w:tc>
      </w:tr>
    </w:tbl>
    <w:p>
      <w:pPr>
        <w:spacing w:after="120"/>
      </w:pPr>
      <w:r>
        <w:t xml:space="preserve"> </w:t>
      </w:r>
    </w:p>
    <w:p>
      <w:pPr>
        <w:spacing w:before="0" w:after="100" w:line="276" w:lineRule="auto"/>
      </w:pPr>
      <w:r>
        <w:rPr>
          <w:rFonts w:ascii="Calibri" w:cs="Calibri" w:eastAsia="Calibri" w:hAnsi="Calibri"/>
          <w:color w:val="1A202C"/>
          <w:sz w:val="21"/>
          <w:szCs w:val="21"/>
        </w:rPr>
        <w:t xml:space="preserve">The assessment is aligned with the OWASP Application Security Verification Standard (ASVS) Level 1 and covers all OWASP Top 10 2021 categories. It does not include dynamic/runtime testing (DAST) or physical infrastructure assessment. A DAST scan using OWASP ZAP is recommended as a pre-launch activity.</w:t>
      </w:r>
    </w:p>
    <w:p>
      <w:r>
        <w:br w:type="page"/>
      </w:r>
    </w:p>
    <w:p>
      <w:pPr>
        <w:pStyle w:val="Heading1"/>
        <w:shd w:color="1F3A6E" w:val="solid"/>
        <w:spacing w:before="280" w:after="0"/>
        <w:ind w:left="172" w:right="172"/>
        <w:jc w:val="left"/>
      </w:pPr>
      <w:r>
        <w:rPr>
          <w:rFonts w:ascii="Calibri" w:cs="Calibri" w:eastAsia="Calibri" w:hAnsi="Calibri"/>
          <w:b/>
          <w:bCs/>
          <w:color w:val="FFFFFF"/>
          <w:sz w:val="26"/>
          <w:szCs w:val="26"/>
        </w:rPr>
        <w:t xml:space="preserve">3.  Security Test Findings</w:t>
      </w:r>
    </w:p>
    <w:p>
      <w:pPr>
        <w:spacing w:after="60"/>
      </w:pPr>
      <w:r>
        <w:t xml:space="preserve"> </w:t>
      </w:r>
    </w:p>
    <w:p>
      <w:pPr>
        <w:spacing w:before="0" w:after="100" w:line="276" w:lineRule="auto"/>
      </w:pPr>
      <w:r>
        <w:rPr>
          <w:rFonts w:ascii="Calibri" w:cs="Calibri" w:eastAsia="Calibri" w:hAnsi="Calibri"/>
          <w:color w:val="1A202C"/>
          <w:sz w:val="21"/>
          <w:szCs w:val="21"/>
        </w:rPr>
        <w:t xml:space="preserve">The following section presents individual findings for each of the ten security test categories. Each finding includes a technical description, test result, evidence, and remediation recommendation.</w:t>
      </w:r>
    </w:p>
    <w:p>
      <w:pPr>
        <w:spacing w:after="12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tblGrid>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SEC-001  |  </w:t>
            </w:r>
            <w:r>
              <w:rPr>
                <w:rFonts w:ascii="Calibri" w:cs="Calibri" w:eastAsia="Calibri" w:hAnsi="Calibri"/>
                <w:b/>
                <w:bCs/>
                <w:color w:val="FFFFFF"/>
                <w:sz w:val="20"/>
                <w:szCs w:val="20"/>
              </w:rPr>
              <w:t xml:space="preserve">Cross-Site Scripting (XSS)</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Injection</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CWE-79</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A03:2021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Direct DOM manipulation patterns that bypass React's built-in content escaping — specifically dangerouslySetInnerHTML, innerHTML assignment, eval(), and document.write() — were scanned across all 89 source files.</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No active XSS vectors found. Two separate issues were identified and remediated during this audit:</w:t>
            </w:r>
          </w:p>
          <w:p>
            <w:pPr>
              <w:spacing w:after="40"/>
            </w:pPr>
            <w:r>
              <w:rPr>
                <w:rFonts w:ascii="Calibri" w:cs="Calibri" w:eastAsia="Calibri" w:hAnsi="Calibri"/>
                <w:color w:val="166534"/>
                <w:sz w:val="19"/>
                <w:szCs w:val="19"/>
              </w:rPr>
              <w:t xml:space="preserve">  1. chart.tsx (shadcn/ui component) used dangerouslySetInnerHTML to inject CSS custom properties. Replaced with a useRef + useEffect approach writing to element.textContent — which is never parsed as HTML.</w:t>
            </w:r>
          </w:p>
          <w:p>
            <w:pPr>
              <w:spacing w:after="40"/>
            </w:pPr>
            <w:r>
              <w:rPr>
                <w:rFonts w:ascii="Calibri" w:cs="Calibri" w:eastAsia="Calibri" w:hAnsi="Calibri"/>
                <w:color w:val="166534"/>
                <w:sz w:val="19"/>
                <w:szCs w:val="19"/>
              </w:rPr>
              <w:t xml:space="preserve">  2. exportReport.ts used the deprecated document.write() API to initialise a print pop-up. Replaced with a Blob URL (URL.createObjectURL) approach — no DOM write required.</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React JSX escaping provides the primary XSS defence. Continue avoiding dangerouslySetInnerHTML. If external HTML must be rendered in future, use DOMPurify to sanitise before injection.</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SEC-002  |  </w:t>
            </w:r>
            <w:r>
              <w:rPr>
                <w:rFonts w:ascii="Calibri" w:cs="Calibri" w:eastAsia="Calibri" w:hAnsi="Calibri"/>
                <w:b/>
                <w:bCs/>
                <w:color w:val="FFFFFF"/>
                <w:sz w:val="20"/>
                <w:szCs w:val="20"/>
              </w:rPr>
              <w:t xml:space="preserve">Hardcoded Credentials &amp; Secrets</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Cryptographic Failures</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CWE-798</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A02:2021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Full scan of all source files for patterns matching API keys (sk-ant-api, Supabase JWT), hardcoded passwords, and embedded tokens.</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No hardcoded credentials found in any source file. All secrets are loaded at runtime via environment variables (VITE_SUPABASE_URL, VITE_SUPABASE_ANON_KEY, RESEND_API_KEY, SMARTSHEET_API_TOKEN, etc.). Git history inspection confirmed no secret has ever been committed. .env.local is correctly gitignored.</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Maintain the current practice of environment variable injection. Implement a pre-commit hook (e.g. git-secrets or Husky + detect-secrets) to prevent accidental credential commits.</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SEC-003  |  </w:t>
            </w:r>
            <w:r>
              <w:rPr>
                <w:rFonts w:ascii="Calibri" w:cs="Calibri" w:eastAsia="Calibri" w:hAnsi="Calibri"/>
                <w:b/>
                <w:bCs/>
                <w:color w:val="FFFFFF"/>
                <w:sz w:val="20"/>
                <w:szCs w:val="20"/>
              </w:rPr>
              <w:t xml:space="preserve">Insecure HTTP Connections</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Cryptographic Failures</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CWE-319</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A02:2021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All outbound external URLs were scanned for http:// usage (excluding localhost development entries and SVG/XML xmlns namespace declarations, which are not network connections).</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No insecure external HTTP connections found. All API integrations use HTTPS: Supabase (dqvdnyxkkletgkkpicdg.supabase.co), Anthropic (api.anthropic.com), Groq (api.groq.com), and Resend (smtp.resend.com). CORS allowlists include http://localhost for local development only — this is correct and expected.</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HSTS headers are now configured (max-age=31536000; includeSubDomains; preload), enforcing HTTPS at the browser level for all returning visitors.</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SEC-004  |  </w:t>
            </w:r>
            <w:r>
              <w:rPr>
                <w:rFonts w:ascii="Calibri" w:cs="Calibri" w:eastAsia="Calibri" w:hAnsi="Calibri"/>
                <w:b/>
                <w:bCs/>
                <w:color w:val="FFFFFF"/>
                <w:sz w:val="20"/>
                <w:szCs w:val="20"/>
              </w:rPr>
              <w:t xml:space="preserve">Sensitive Data in Console Output</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Security Logging &amp; Monitoring Failures</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CWE-532</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A09:2021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Console.log/warn/error statements were scanned for output patterns containing auth tokens, passwords, API keys, or secret values.</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No sensitive data detected in console output. One historical issue (contact.ts logging full PII: name, email, company, message to Netlify dashboard logs) was identified and remediated. The function now logs only a non-identifying submission reference ID and audience category.</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Consider adding a production build step that strips all console.log calls (Vite's esbuild drop: ["console"] option) to prevent any debug information leakage in production.</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SEC-005  |  </w:t>
            </w:r>
            <w:r>
              <w:rPr>
                <w:rFonts w:ascii="Calibri" w:cs="Calibri" w:eastAsia="Calibri" w:hAnsi="Calibri"/>
                <w:b/>
                <w:bCs/>
                <w:color w:val="FFFFFF"/>
                <w:sz w:val="20"/>
                <w:szCs w:val="20"/>
              </w:rPr>
              <w:t xml:space="preserve">Sensitive Data in Browser Storage</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Cryptographic Failures</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CWE-922</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A02:2021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localStorage and sessionStorage usage was scanned for storage of authentication tokens, passwords, or sensitive session data.</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No sensitive data stored in browser storage. localStorage is used in two safe contexts: (1) ThemeProvider — stores UI theme preference ("light"/"dark"), and (2) BMCTool — stores Business Model Canvas draft form data for auto-save across page refreshes. Neither contains tokens, passwords, or personally identifiable information. Supabase Auth manages session tokens internally via its own SDK.</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Current usage is appropriate. If user profile preferences or non-sensitive settings are added to localStorage in future, ensure they remain free of any authentication material or personal data as a standard practice.</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SEC-006  |  </w:t>
            </w:r>
            <w:r>
              <w:rPr>
                <w:rFonts w:ascii="Calibri" w:cs="Calibri" w:eastAsia="Calibri" w:hAnsi="Calibri"/>
                <w:b/>
                <w:bCs/>
                <w:color w:val="FFFFFF"/>
                <w:sz w:val="20"/>
                <w:szCs w:val="20"/>
              </w:rPr>
              <w:t xml:space="preserve">CORS Policy Configuration</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Broken Access Control</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CWE-942</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A01:2021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Cross-Origin Resource Sharing headers were reviewed across all API functions for wildcard origins and correct handling of error responses.</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CORS is correctly configured. All API functions use a strict ALLOWED_ORIGINS allowlist: https://edmeca.co.za, https://www.edmeca.co.za, https://edmecaacademy.netlify.app, https://staging--edmecaacademy.netlify.app, and http://localhost variants. One issue was remediated: contact.ts previously applied CORS headers only on 200 success responses. Error responses had no CORS headers, causing browsers to silently suppress error messages. Fixed — CORS headers are now applied to all responses.</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No further action required. Maintain the ALLOWED_ORIGINS allowlist as new deployment environments are added (e.g. a custom subdomain for staging).</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SEC-007  |  </w:t>
            </w:r>
            <w:r>
              <w:rPr>
                <w:rFonts w:ascii="Calibri" w:cs="Calibri" w:eastAsia="Calibri" w:hAnsi="Calibri"/>
                <w:b/>
                <w:bCs/>
                <w:color w:val="FFFFFF"/>
                <w:sz w:val="20"/>
                <w:szCs w:val="20"/>
              </w:rPr>
              <w:t xml:space="preserve">SQL Injection</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Injection</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CWE-89</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A03:2021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Database query construction patterns were reviewed. Supabase's PostgREST client uses parameterised query building by default, preventing SQL injection. Risk arises specifically if raw SQL strings are constructed with user input via .rpc() or template literals.</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No raw SQL string construction with user input detected. All database interactions use Supabase's typed query builder exclusively (.from(), .select(), .insert(), .update(), .delete()). No template literal SQL interpolation found. Row Level Security is enabled on all user-data tables.</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Continue exclusively using the Supabase typed query builder. If stored procedures are required via .rpc(), ensure all parameters are typed, validated, and never string-interpolated.</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SEC-008  |  </w:t>
            </w:r>
            <w:r>
              <w:rPr>
                <w:rFonts w:ascii="Calibri" w:cs="Calibri" w:eastAsia="Calibri" w:hAnsi="Calibri"/>
                <w:b/>
                <w:bCs/>
                <w:color w:val="FFFFFF"/>
                <w:sz w:val="20"/>
                <w:szCs w:val="20"/>
              </w:rPr>
              <w:t xml:space="preserve">Authentication &amp; Session Management</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Identification and Authentication Failures</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CWE-306</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A07:2021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All portal pages were checked for authentication enforcement. The audit checks for a router-level ProtectedRoute HOC in App.tsx (the correct React pattern) before falling back to per-page auth reference scanning.</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Authentication is correctly enforced. App.tsx contains a ProtectedRoute HOC that wraps all /portal/* routes at the router level. Individual portal pages (PitchBuilderTool, SWOTPestleTool, ValuePropTool, etc.) are protected via this HOC — they do not require per-page auth imports. All server-side API functions validate the Supabase Bearer token (supabase.auth.getUser(token)) before processing any request. Unauthenticated calls receive a 401 Unauthorised response.</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Current architecture is correct. When adding new portal pages, ensure they are registered within the ProtectedRoute wrapper in App.tsx, not outside it.</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SEC-009  |  </w:t>
            </w:r>
            <w:r>
              <w:rPr>
                <w:rFonts w:ascii="Calibri" w:cs="Calibri" w:eastAsia="Calibri" w:hAnsi="Calibri"/>
                <w:b/>
                <w:bCs/>
                <w:color w:val="FFFFFF"/>
                <w:sz w:val="20"/>
                <w:szCs w:val="20"/>
              </w:rPr>
              <w:t xml:space="preserve">Third-Party Dependency Vulnerabilities</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Vulnerable and Outdated Components</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CWE-1104</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A06:2021</w:t>
            </w:r>
          </w:p>
        </w:tc>
        <w:tc>
          <w:tcPr>
            <w:tcW w:type="pct" w:w="25%"/>
            <w:tcMar>
              <w:top w:type="dxa" w:w="60"/>
              <w:left w:type="dxa" w:w="160"/>
              <w:bottom w:type="dxa" w:w="60"/>
              <w:right w:type="dxa" w:w="160"/>
            </w:tcMar>
          </w:tcPr>
          <w:p>
            <w:pPr>
              <w:spacing w:after="0"/>
            </w:pPr>
            <w:r>
              <w:rPr>
                <w:rFonts w:ascii="Calibri" w:cs="Calibri" w:eastAsia="Calibri" w:hAnsi="Calibri"/>
                <w:b/>
                <w:bCs/>
                <w:color w:val="92400E"/>
                <w:sz w:val="19"/>
                <w:szCs w:val="19"/>
              </w:rPr>
              <w:t xml:space="preserve">REVIEW</w:t>
            </w:r>
            <w:r>
              <w:rPr>
                <w:rFonts w:ascii="Calibri" w:cs="Calibri" w:eastAsia="Calibri" w:hAnsi="Calibri"/>
                <w:color w:val="4A5568"/>
                <w:sz w:val="19"/>
                <w:szCs w:val="19"/>
              </w:rPr>
              <w:t xml:space="preserve">  /  </w:t>
            </w:r>
            <w:r>
              <w:rPr>
                <w:rFonts w:ascii="Calibri" w:cs="Calibri" w:eastAsia="Calibri" w:hAnsi="Calibri"/>
                <w:b/>
                <w:bCs/>
                <w:color w:val="92400E"/>
                <w:sz w:val="19"/>
                <w:szCs w:val="19"/>
              </w:rPr>
              <w:t xml:space="preserve">Medium</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npm audit scanned all 675 declared and transitive dependencies against the GitHub Advisory Database and npm security advisories. Results include CVE identifiers, severity ratings, and available remediation paths.</w:t>
            </w:r>
          </w:p>
        </w:tc>
      </w:tr>
      <w:tr>
        <w:tc>
          <w:tcPr>
            <w:gridSpan w:val="4"/>
            <w:shd w:color="FEF3C7" w:val="solid"/>
            <w:tcMar>
              <w:top w:type="dxa" w:w="120"/>
              <w:left w:type="dxa" w:w="200"/>
              <w:bottom w:type="dxa" w:w="120"/>
              <w:right w:type="dxa" w:w="200"/>
            </w:tcMar>
          </w:tcPr>
          <w:p>
            <w:pPr>
              <w:spacing w:after="40"/>
            </w:pPr>
            <w:r>
              <w:rPr>
                <w:rFonts w:ascii="Calibri" w:cs="Calibri" w:eastAsia="Calibri" w:hAnsi="Calibri"/>
                <w:b/>
                <w:bCs/>
                <w:color w:val="92400E"/>
                <w:sz w:val="19"/>
                <w:szCs w:val="19"/>
              </w:rPr>
              <w:t xml:space="preserve">Finding: </w:t>
            </w:r>
          </w:p>
          <w:p>
            <w:pPr>
              <w:spacing w:after="40"/>
            </w:pPr>
            <w:r>
              <w:rPr>
                <w:rFonts w:ascii="Calibri" w:cs="Calibri" w:eastAsia="Calibri" w:hAnsi="Calibri"/>
                <w:color w:val="92400E"/>
                <w:sz w:val="19"/>
                <w:szCs w:val="19"/>
              </w:rPr>
              <w:t xml:space="preserve">9 vulnerabilities remain after remediation of auto-fixable issues (reduced from 14 at audit start). Breakdown: 0 Critical, 6 High, 3 Moderate, 0 Low. Key affected packages:</w:t>
            </w:r>
          </w:p>
          <w:p>
            <w:pPr>
              <w:pStyle w:val="ListParagraph"/>
              <w:numPr>
                <w:ilvl w:val="0"/>
                <w:numId w:val="1"/>
              </w:numPr>
              <w:spacing w:after="40"/>
            </w:pPr>
            <w:r>
              <w:rPr>
                <w:rFonts w:ascii="Calibri" w:cs="Calibri" w:eastAsia="Calibri" w:hAnsi="Calibri"/>
                <w:color w:val="92400E"/>
                <w:sz w:val="19"/>
                <w:szCs w:val="19"/>
              </w:rPr>
              <w:t xml:space="preserve">xlsx (SheetJS) — 2 High advisories (Prototype Pollution, ReDoS). No upstream fix available. Replacement with ExcelJS is required.</w:t>
            </w:r>
          </w:p>
          <w:p>
            <w:pPr>
              <w:pStyle w:val="ListParagraph"/>
              <w:numPr>
                <w:ilvl w:val="0"/>
                <w:numId w:val="1"/>
              </w:numPr>
              <w:spacing w:after="40"/>
            </w:pPr>
            <w:r>
              <w:rPr>
                <w:rFonts w:ascii="Calibri" w:cs="Calibri" w:eastAsia="Calibri" w:hAnsi="Calibri"/>
                <w:color w:val="92400E"/>
                <w:sz w:val="19"/>
                <w:szCs w:val="19"/>
              </w:rPr>
              <w:t xml:space="preserve">minimatch / path-to-regexp / undici — 4 High + 3 Moderate via @vercel/node transitive chain. Fix: upgrade @vercel/node to v4.0.0 (breaking change — requires API compatibility testing).</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Priority 1: Replace xlsx with exceljs in FileUploadZone.tsx (est. 2–3 days). Priority 2: Upgrade @vercel/node to v4.0.0 (est. 1 day + testing). Both items are planned for the next development sprint before public launch.</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r>
        <w:tc>
          <w:tcPr>
            <w:gridSpan w:val="4"/>
            <w:shd w:color="1F3A6E" w:val="solid"/>
            <w:tcMar>
              <w:top w:type="dxa" w:w="100"/>
              <w:left w:type="dxa" w:w="200"/>
              <w:bottom w:type="dxa" w:w="100"/>
              <w:right w:type="dxa" w:w="200"/>
            </w:tcMar>
          </w:tcPr>
          <w:p>
            <w:pPr>
              <w:spacing w:after="0"/>
            </w:pPr>
            <w:r>
              <w:rPr>
                <w:rFonts w:ascii="Calibri" w:cs="Calibri" w:eastAsia="Calibri" w:hAnsi="Calibri"/>
                <w:b/>
                <w:bCs/>
                <w:color w:val="D4A017"/>
                <w:sz w:val="20"/>
                <w:szCs w:val="20"/>
              </w:rPr>
              <w:t xml:space="preserve">SEC-010  |  </w:t>
            </w:r>
            <w:r>
              <w:rPr>
                <w:rFonts w:ascii="Calibri" w:cs="Calibri" w:eastAsia="Calibri" w:hAnsi="Calibri"/>
                <w:b/>
                <w:bCs/>
                <w:color w:val="FFFFFF"/>
                <w:sz w:val="20"/>
                <w:szCs w:val="20"/>
              </w:rPr>
              <w:t xml:space="preserve">HTTP Security Headers</w:t>
            </w:r>
          </w:p>
        </w:tc>
      </w:tr>
      <w:tr>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Category</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CWE</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OWASP 2021</w:t>
            </w:r>
          </w:p>
        </w:tc>
        <w:tc>
          <w:tcPr>
            <w:tcW w:type="pct" w:w="25%"/>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Status / Risk</w:t>
            </w:r>
          </w:p>
        </w:tc>
      </w:tr>
      <w:tr>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Security Misconfiguration</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CWE-16</w:t>
            </w:r>
          </w:p>
        </w:tc>
        <w:tc>
          <w:tcPr>
            <w:tcW w:type="pct" w:w="25%"/>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A05:2021</w:t>
            </w:r>
          </w:p>
        </w:tc>
        <w:tc>
          <w:tcPr>
            <w:tcW w:type="pct" w:w="25%"/>
            <w:tcMar>
              <w:top w:type="dxa" w:w="60"/>
              <w:left w:type="dxa" w:w="160"/>
              <w:bottom w:type="dxa" w:w="60"/>
              <w:right w:type="dxa" w:w="160"/>
            </w:tcMar>
          </w:tcPr>
          <w:p>
            <w:pPr>
              <w:spacing w:after="0"/>
            </w:pPr>
            <w:r>
              <w:rPr>
                <w:rFonts w:ascii="Calibri" w:cs="Calibri" w:eastAsia="Calibri" w:hAnsi="Calibri"/>
                <w:b/>
                <w:bCs/>
                <w:color w:val="166534"/>
                <w:sz w:val="19"/>
                <w:szCs w:val="19"/>
              </w:rPr>
              <w:t xml:space="preserve">PASS</w:t>
            </w:r>
            <w:r>
              <w:rPr>
                <w:rFonts w:ascii="Calibri" w:cs="Calibri" w:eastAsia="Calibri" w:hAnsi="Calibri"/>
                <w:color w:val="4A5568"/>
                <w:sz w:val="19"/>
                <w:szCs w:val="19"/>
              </w:rPr>
              <w:t xml:space="preserve">  /  </w:t>
            </w:r>
            <w:r>
              <w:rPr>
                <w:rFonts w:ascii="Calibri" w:cs="Calibri" w:eastAsia="Calibri" w:hAnsi="Calibri"/>
                <w:b/>
                <w:bCs/>
                <w:color w:val="166534"/>
                <w:sz w:val="19"/>
                <w:szCs w:val="19"/>
              </w:rPr>
              <w:t xml:space="preserve">None</w:t>
            </w:r>
          </w:p>
        </w:tc>
      </w:tr>
      <w:tr>
        <w:tc>
          <w:tcPr>
            <w:gridSpan w:val="4"/>
            <w:tcMar>
              <w:top w:type="dxa" w:w="120"/>
              <w:left w:type="dxa" w:w="200"/>
              <w:bottom w:type="dxa" w:w="40"/>
              <w:right w:type="dxa" w:w="200"/>
            </w:tcMar>
          </w:tcPr>
          <w:p>
            <w:pPr>
              <w:spacing w:after="0"/>
            </w:pPr>
            <w:r>
              <w:rPr>
                <w:rFonts w:ascii="Calibri" w:cs="Calibri" w:eastAsia="Calibri" w:hAnsi="Calibri"/>
                <w:b/>
                <w:bCs/>
                <w:color w:val="1F3A6E"/>
                <w:sz w:val="19"/>
                <w:szCs w:val="19"/>
              </w:rPr>
              <w:t xml:space="preserve">Technical Description: </w:t>
            </w:r>
            <w:r>
              <w:rPr>
                <w:rFonts w:ascii="Calibri" w:cs="Calibri" w:eastAsia="Calibri" w:hAnsi="Calibri"/>
                <w:color w:val="1A202C"/>
                <w:sz w:val="19"/>
                <w:szCs w:val="19"/>
              </w:rPr>
              <w:t xml:space="preserve">netlify.toml was checked for the presence and correctness of critical HTTP security headers: Content-Security-Policy, Strict-Transport-Security (HSTS), X-Frame-Options, X-Content-Type-Options, and Permissions-Policy.</w:t>
            </w:r>
          </w:p>
        </w:tc>
      </w:tr>
      <w:tr>
        <w:tc>
          <w:tcPr>
            <w:gridSpan w:val="4"/>
            <w:shd w:color="DCFCE7" w:val="solid"/>
            <w:tcMar>
              <w:top w:type="dxa" w:w="120"/>
              <w:left w:type="dxa" w:w="200"/>
              <w:bottom w:type="dxa" w:w="120"/>
              <w:right w:type="dxa" w:w="200"/>
            </w:tcMar>
          </w:tcPr>
          <w:p>
            <w:pPr>
              <w:spacing w:after="40"/>
            </w:pPr>
            <w:r>
              <w:rPr>
                <w:rFonts w:ascii="Calibri" w:cs="Calibri" w:eastAsia="Calibri" w:hAnsi="Calibri"/>
                <w:b/>
                <w:bCs/>
                <w:color w:val="166534"/>
                <w:sz w:val="19"/>
                <w:szCs w:val="19"/>
              </w:rPr>
              <w:t xml:space="preserve">Finding: </w:t>
            </w:r>
          </w:p>
          <w:p>
            <w:pPr>
              <w:spacing w:after="40"/>
            </w:pPr>
            <w:r>
              <w:rPr>
                <w:rFonts w:ascii="Calibri" w:cs="Calibri" w:eastAsia="Calibri" w:hAnsi="Calibri"/>
                <w:color w:val="166534"/>
                <w:sz w:val="19"/>
                <w:szCs w:val="19"/>
              </w:rPr>
              <w:t xml:space="preserve">All required security headers are present following remediation in this audit cycle. Previously the site was missing HSTS and a Content Security Policy. Now configured: Strict-Transport-Security (max-age=31536000; includeSubDomains; preload), Content-Security-Policy (scoped to Supabase, Vercel AI, Google OAuth, Google Fonts domains), Permissions-Policy (camera=(), microphone=(), geolocation=()), X-Frame-Options: DENY, X-Content-Type-Options: nosniff, Referrer-Policy: strict-origin-when-cross-origin.</w:t>
            </w:r>
          </w:p>
        </w:tc>
      </w:tr>
      <w:tr>
        <w:tc>
          <w:tcPr>
            <w:gridSpan w:val="4"/>
            <w:tcMar>
              <w:top w:type="dxa" w:w="120"/>
              <w:left w:type="dxa" w:w="200"/>
              <w:bottom w:type="dxa" w:w="200"/>
              <w:right w:type="dxa" w:w="200"/>
            </w:tcMar>
          </w:tcPr>
          <w:p>
            <w:pPr>
              <w:spacing w:after="0"/>
            </w:pPr>
            <w:r>
              <w:rPr>
                <w:rFonts w:ascii="Calibri" w:cs="Calibri" w:eastAsia="Calibri" w:hAnsi="Calibri"/>
                <w:b/>
                <w:bCs/>
                <w:color w:val="1F3A6E"/>
                <w:sz w:val="19"/>
                <w:szCs w:val="19"/>
              </w:rPr>
              <w:t xml:space="preserve">Recommendation: </w:t>
            </w:r>
            <w:r>
              <w:rPr>
                <w:rFonts w:ascii="Calibri" w:cs="Calibri" w:eastAsia="Calibri" w:hAnsi="Calibri"/>
                <w:color w:val="1A202C"/>
                <w:sz w:val="19"/>
                <w:szCs w:val="19"/>
              </w:rPr>
              <w:t xml:space="preserve">Review and update the CSP source list whenever new third-party scripts or API integrations are added. Use the browser's CSP violation reporting in staging to detect any blocked resources before promoting changes to production.</w:t>
            </w:r>
          </w:p>
        </w:tc>
      </w:tr>
      <w:tr>
        <w:tc>
          <w:tcPr>
            <w:gridSpan w:val="4"/>
            <w:tcBorders>
              <w:top w:val="none" w:color="auto" w:sz="0"/>
              <w:left w:val="none" w:color="auto" w:sz="0"/>
              <w:bottom w:val="none" w:color="auto" w:sz="0"/>
              <w:right w:val="none" w:color="auto" w:sz="0"/>
            </w:tcBorders>
            <w:tcMar>
              <w:top w:type="dxa" w:w="120"/>
            </w:tcMar>
          </w:tcPr>
          <w:p>
            <w:pPr>
              <w:spacing w:after="0"/>
            </w:pPr>
            <w:r>
              <w:t xml:space="preserve"/>
            </w:r>
          </w:p>
        </w:tc>
      </w:tr>
    </w:tbl>
    <w:p>
      <w:r>
        <w:br w:type="page"/>
      </w:r>
    </w:p>
    <w:p>
      <w:pPr>
        <w:pStyle w:val="Heading1"/>
        <w:shd w:color="1F3A6E" w:val="solid"/>
        <w:spacing w:before="280" w:after="0"/>
        <w:ind w:left="172" w:right="172"/>
        <w:jc w:val="left"/>
      </w:pPr>
      <w:r>
        <w:rPr>
          <w:rFonts w:ascii="Calibri" w:cs="Calibri" w:eastAsia="Calibri" w:hAnsi="Calibri"/>
          <w:b/>
          <w:bCs/>
          <w:color w:val="FFFFFF"/>
          <w:sz w:val="26"/>
          <w:szCs w:val="26"/>
        </w:rPr>
        <w:t xml:space="preserve">4.  Dependency Vulnerability Register</w:t>
      </w:r>
    </w:p>
    <w:p>
      <w:pPr>
        <w:spacing w:after="60"/>
      </w:pPr>
      <w:r>
        <w:t xml:space="preserve"> </w:t>
      </w:r>
    </w:p>
    <w:p>
      <w:pPr>
        <w:spacing w:before="0" w:after="100" w:line="276" w:lineRule="auto"/>
      </w:pPr>
      <w:r>
        <w:rPr>
          <w:rFonts w:ascii="Calibri" w:cs="Calibri" w:eastAsia="Calibri" w:hAnsi="Calibri"/>
          <w:color w:val="1A202C"/>
          <w:sz w:val="21"/>
          <w:szCs w:val="21"/>
        </w:rPr>
        <w:t xml:space="preserve">The following table lists all advisories reported by npm audit against the installed dependency tree. These are vulnerabilities in third-party packages, not in EDMECA application code. They are listed for completeness and to support prioritised remediation planning.</w:t>
      </w:r>
    </w:p>
    <w:p>
      <w:pPr>
        <w:spacing w:after="120"/>
      </w:pPr>
      <w:r>
        <w:t xml:space="preserve"> </w:t>
      </w:r>
    </w:p>
    <w:tbl>
      <w:tblPr>
        <w:tblW w:type="pct" w:w="100%"/>
        <w:tblBorders>
          <w:top w:val="single" w:color="1F3A6E" w:sz="8"/>
          <w:left w:val="single" w:color="1F3A6E" w:sz="8"/>
          <w:bottom w:val="single" w:color="1F3A6E" w:sz="8"/>
          <w:right w:val="single" w:color="1F3A6E" w:sz="8"/>
          <w:insideH w:val="single" w:color="auto" w:sz="4"/>
          <w:insideV w:val="single" w:color="auto" w:sz="4"/>
        </w:tblBorders>
      </w:tblPr>
      <w:tblGrid>
        <w:gridCol w:w="100"/>
        <w:gridCol w:w="100"/>
        <w:gridCol w:w="100"/>
        <w:gridCol w:w="100"/>
        <w:gridCol w:w="100"/>
        <w:gridCol w:w="100"/>
      </w:tblGrid>
      <w:tr>
        <w:tc>
          <w:tcPr>
            <w:tcW w:type="pct" w:w="5%"/>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w:t>
            </w:r>
          </w:p>
        </w:tc>
        <w:tc>
          <w:tcPr>
            <w:tcW w:type="pct" w:w="22%"/>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Package</w:t>
            </w:r>
          </w:p>
        </w:tc>
        <w:tc>
          <w:tcPr>
            <w:tcW w:type="pct" w:w="11%"/>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Severity</w:t>
            </w:r>
          </w:p>
        </w:tc>
        <w:tc>
          <w:tcPr>
            <w:tcW w:type="pct" w:w="36%"/>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Advisory</w:t>
            </w:r>
          </w:p>
        </w:tc>
        <w:tc>
          <w:tcPr>
            <w:tcW w:type="pct" w:w="16%"/>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Affected Range</w:t>
            </w:r>
          </w:p>
        </w:tc>
        <w:tc>
          <w:tcPr>
            <w:tcW w:type="pct" w:w="10%"/>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Remediation</w:t>
            </w:r>
          </w:p>
        </w:tc>
      </w:tr>
      <w:tr>
        <w:tc>
          <w:tcPr>
            <w:gridSpan w:val="6"/>
          </w:tcPr>
          <w:p>
            <w:pPr>
              <w:spacing w:after="0"/>
            </w:pPr>
            <w:r>
              <w:rPr>
                <w:rFonts w:ascii="Calibri" w:cs="Calibri" w:eastAsia="Calibri" w:hAnsi="Calibri"/>
                <w:sz w:val="19"/>
                <w:szCs w:val="19"/>
              </w:rPr>
              <w:t xml:space="preserve">No vulnerability data available (audit-raw.json not found).</w:t>
            </w:r>
          </w:p>
        </w:tc>
      </w:tr>
    </w:tbl>
    <w:p>
      <w:pPr>
        <w:spacing w:after="120"/>
      </w:pPr>
      <w:r>
        <w:t xml:space="preserve"> </w:t>
      </w:r>
    </w:p>
    <w:p>
      <w:pPr>
        <w:pBdr>
          <w:left w:val="single" w:color="92400E" w:sz="16"/>
        </w:pBdr>
        <w:shd w:color="FEF3C7" w:val="solid"/>
        <w:spacing w:before="120" w:after="160"/>
        <w:ind w:left="215" w:right="215"/>
      </w:pPr>
      <w:r>
        <w:rPr>
          <w:rFonts w:ascii="Calibri" w:cs="Calibri" w:eastAsia="Calibri" w:hAnsi="Calibri"/>
          <w:i/>
          <w:iCs/>
          <w:color w:val="92400E"/>
          <w:sz w:val="20"/>
          <w:szCs w:val="20"/>
        </w:rPr>
        <w:t xml:space="preserve">Note: All High advisories are confined to two packages — xlsx (no upstream fix, replacement required) and @vercel/node transitive dependencies (fix available via version upgrade). Neither affects user authentication, database integrity, or direct data exposure.</w:t>
      </w:r>
    </w:p>
    <w:p>
      <w:r>
        <w:br w:type="page"/>
      </w:r>
    </w:p>
    <w:p>
      <w:pPr>
        <w:pStyle w:val="Heading1"/>
        <w:shd w:color="1F3A6E" w:val="solid"/>
        <w:spacing w:before="280" w:after="0"/>
        <w:ind w:left="172" w:right="172"/>
        <w:jc w:val="left"/>
      </w:pPr>
      <w:r>
        <w:rPr>
          <w:rFonts w:ascii="Calibri" w:cs="Calibri" w:eastAsia="Calibri" w:hAnsi="Calibri"/>
          <w:b/>
          <w:bCs/>
          <w:color w:val="FFFFFF"/>
          <w:sz w:val="26"/>
          <w:szCs w:val="26"/>
        </w:rPr>
        <w:t xml:space="preserve">5.  Residual Risk Register</w:t>
      </w:r>
    </w:p>
    <w:p>
      <w:pPr>
        <w:spacing w:after="60"/>
      </w:pPr>
      <w:r>
        <w:t xml:space="preserve"> </w:t>
      </w:r>
    </w:p>
    <w:p>
      <w:pPr>
        <w:spacing w:before="0" w:after="100" w:line="276" w:lineRule="auto"/>
      </w:pPr>
      <w:r>
        <w:rPr>
          <w:rFonts w:ascii="Calibri" w:cs="Calibri" w:eastAsia="Calibri" w:hAnsi="Calibri"/>
          <w:color w:val="1A202C"/>
          <w:sz w:val="21"/>
          <w:szCs w:val="21"/>
        </w:rPr>
        <w:t xml:space="preserve">The following risks remain open following remediation of all identified application code vulnerabilities. Each item is tracked with a likelihood rating, impact assessment, and target remediation date.</w:t>
      </w:r>
    </w:p>
    <w:p>
      <w:pPr>
        <w:spacing w:after="120"/>
      </w:pPr>
      <w:r>
        <w:t xml:space="preserve"> </w:t>
      </w:r>
    </w:p>
    <w:tbl>
      <w:tblPr>
        <w:tblW w:type="pct" w:w="100%"/>
        <w:tblBorders>
          <w:top w:val="single" w:color="1F3A6E" w:sz="8"/>
          <w:left w:val="single" w:color="1F3A6E" w:sz="8"/>
          <w:bottom w:val="single" w:color="1F3A6E" w:sz="8"/>
          <w:right w:val="single" w:color="1F3A6E" w:sz="8"/>
          <w:insideH w:val="single" w:color="auto" w:sz="4"/>
          <w:insideV w:val="single" w:color="auto" w:sz="4"/>
        </w:tblBorders>
      </w:tblPr>
      <w:tblGrid>
        <w:gridCol w:w="100"/>
        <w:gridCol w:w="100"/>
        <w:gridCol w:w="100"/>
        <w:gridCol w:w="100"/>
        <w:gridCol w:w="100"/>
        <w:gridCol w:w="100"/>
      </w:tblGrid>
      <w:tr>
        <w:tc>
          <w:tcPr>
            <w:tcW w:type="pct" w:w="4%"/>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w:t>
            </w:r>
          </w:p>
        </w:tc>
        <w:tc>
          <w:tcPr>
            <w:tcW w:type="pct" w:w="38%"/>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Risk Description</w:t>
            </w:r>
          </w:p>
        </w:tc>
        <w:tc>
          <w:tcPr>
            <w:tcW w:type="pct" w:w="12%"/>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Likelihood</w:t>
            </w:r>
          </w:p>
        </w:tc>
        <w:tc>
          <w:tcPr>
            <w:tcW w:type="pct" w:w="12%"/>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Impact</w:t>
            </w:r>
          </w:p>
        </w:tc>
        <w:tc>
          <w:tcPr>
            <w:tcW w:type="pct" w:w="22%"/>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Control / Mitigation</w:t>
            </w:r>
          </w:p>
        </w:tc>
        <w:tc>
          <w:tcPr>
            <w:tcW w:type="pct" w:w="12%"/>
            <w:shd w:color="1F3A6E" w:val="solid"/>
            <w:tcMar>
              <w:top w:type="dxa" w:w="80"/>
              <w:left w:type="dxa" w:w="160"/>
              <w:bottom w:type="dxa" w:w="80"/>
              <w:right w:type="dxa" w:w="160"/>
            </w:tcMar>
          </w:tcPr>
          <w:p>
            <w:pPr>
              <w:spacing w:after="0"/>
            </w:pPr>
            <w:r>
              <w:rPr>
                <w:rFonts w:ascii="Calibri" w:cs="Calibri" w:eastAsia="Calibri" w:hAnsi="Calibri"/>
                <w:b/>
                <w:bCs/>
                <w:color w:val="FFFFFF"/>
                <w:sz w:val="19"/>
                <w:szCs w:val="19"/>
              </w:rPr>
              <w:t xml:space="preserve">Target Date</w:t>
            </w:r>
          </w:p>
        </w:tc>
      </w:tr>
      <w:tr>
        <w:tc>
          <w:tcPr>
            <w:tcW w:type="pct" w:w="4%"/>
            <w:shd w:color="F8F9FC" w:val="solid"/>
            <w:tcMar>
              <w:top w:type="dxa" w:w="60"/>
              <w:left w:type="dxa" w:w="160"/>
              <w:bottom w:type="dxa" w:w="60"/>
              <w:right w:type="dxa" w:w="160"/>
            </w:tcMar>
            <w:vAlign w:val="center"/>
          </w:tcPr>
          <w:p>
            <w:pPr>
              <w:spacing w:after="0"/>
              <w:jc w:val="center"/>
            </w:pPr>
            <w:r>
              <w:rPr>
                <w:rFonts w:ascii="Calibri" w:cs="Calibri" w:eastAsia="Calibri" w:hAnsi="Calibri"/>
                <w:b w:val="false"/>
                <w:bCs w:val="false"/>
                <w:color w:val="1A202C"/>
                <w:sz w:val="19"/>
                <w:szCs w:val="19"/>
              </w:rPr>
              <w:t xml:space="preserve">1</w:t>
            </w:r>
          </w:p>
        </w:tc>
        <w:tc>
          <w:tcPr>
            <w:tcW w:type="pct" w:w="3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xlsx CVEs (Prototype Pollution, ReDoS)</w:t>
            </w:r>
          </w:p>
        </w:tc>
        <w:tc>
          <w:tcPr>
            <w:shd w:color="FEE2E2" w:val="solid"/>
            <w:tcMar>
              <w:top w:type="dxa" w:w="60"/>
              <w:left w:type="dxa" w:w="160"/>
              <w:bottom w:type="dxa" w:w="60"/>
              <w:right w:type="dxa" w:w="160"/>
            </w:tcMar>
            <w:vAlign w:val="center"/>
          </w:tcPr>
          <w:p>
            <w:pPr>
              <w:spacing w:after="0"/>
              <w:jc w:val="center"/>
            </w:pPr>
            <w:r>
              <w:rPr>
                <w:rFonts w:ascii="Calibri" w:cs="Calibri" w:eastAsia="Calibri" w:hAnsi="Calibri"/>
                <w:b/>
                <w:bCs/>
                <w:color w:val="991B1B"/>
                <w:sz w:val="19"/>
                <w:szCs w:val="19"/>
              </w:rPr>
              <w:t xml:space="preserve">High</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tcW w:type="pct" w:w="2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Affects Excel file parsing only. Replacement with ExcelJS planned.</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Sprint 1 post-audit</w:t>
            </w:r>
          </w:p>
        </w:tc>
      </w:tr>
      <w:tr>
        <w:tc>
          <w:tcPr>
            <w:tcW w:type="pct" w:w="4%"/>
            <w:shd w:color="F8F9FC" w:val="solid"/>
            <w:tcMar>
              <w:top w:type="dxa" w:w="60"/>
              <w:left w:type="dxa" w:w="160"/>
              <w:bottom w:type="dxa" w:w="60"/>
              <w:right w:type="dxa" w:w="160"/>
            </w:tcMar>
            <w:vAlign w:val="center"/>
          </w:tcPr>
          <w:p>
            <w:pPr>
              <w:spacing w:after="0"/>
              <w:jc w:val="center"/>
            </w:pPr>
            <w:r>
              <w:rPr>
                <w:rFonts w:ascii="Calibri" w:cs="Calibri" w:eastAsia="Calibri" w:hAnsi="Calibri"/>
                <w:b w:val="false"/>
                <w:bCs w:val="false"/>
                <w:color w:val="1A202C"/>
                <w:sz w:val="19"/>
                <w:szCs w:val="19"/>
              </w:rPr>
              <w:t xml:space="preserve">2</w:t>
            </w:r>
          </w:p>
        </w:tc>
        <w:tc>
          <w:tcPr>
            <w:tcW w:type="pct" w:w="3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AI API — No usage rate limiting</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tcW w:type="pct" w:w="2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Authenticated users can loop AI calls. Cost exposure at scale.</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Before scaling user base</w:t>
            </w:r>
          </w:p>
        </w:tc>
      </w:tr>
      <w:tr>
        <w:tc>
          <w:tcPr>
            <w:tcW w:type="pct" w:w="4%"/>
            <w:shd w:color="F8F9FC" w:val="solid"/>
            <w:tcMar>
              <w:top w:type="dxa" w:w="60"/>
              <w:left w:type="dxa" w:w="160"/>
              <w:bottom w:type="dxa" w:w="60"/>
              <w:right w:type="dxa" w:w="160"/>
            </w:tcMar>
            <w:vAlign w:val="center"/>
          </w:tcPr>
          <w:p>
            <w:pPr>
              <w:spacing w:after="0"/>
              <w:jc w:val="center"/>
            </w:pPr>
            <w:r>
              <w:rPr>
                <w:rFonts w:ascii="Calibri" w:cs="Calibri" w:eastAsia="Calibri" w:hAnsi="Calibri"/>
                <w:b w:val="false"/>
                <w:bCs w:val="false"/>
                <w:color w:val="1A202C"/>
                <w:sz w:val="19"/>
                <w:szCs w:val="19"/>
              </w:rPr>
              <w:t xml:space="preserve">3</w:t>
            </w:r>
          </w:p>
        </w:tc>
        <w:tc>
          <w:tcPr>
            <w:tcW w:type="pct" w:w="3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@vercel/node transitive vulnerabilities</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Low</w:t>
            </w:r>
          </w:p>
        </w:tc>
        <w:tc>
          <w:tcPr>
            <w:tcW w:type="pct" w:w="2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Breaking change upgrade available. Limited exposure (server-side only).</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Sprint 1 post-audit</w:t>
            </w:r>
          </w:p>
        </w:tc>
      </w:tr>
      <w:tr>
        <w:tc>
          <w:tcPr>
            <w:tcW w:type="pct" w:w="4%"/>
            <w:shd w:color="F8F9FC" w:val="solid"/>
            <w:tcMar>
              <w:top w:type="dxa" w:w="60"/>
              <w:left w:type="dxa" w:w="160"/>
              <w:bottom w:type="dxa" w:w="60"/>
              <w:right w:type="dxa" w:w="160"/>
            </w:tcMar>
            <w:vAlign w:val="center"/>
          </w:tcPr>
          <w:p>
            <w:pPr>
              <w:spacing w:after="0"/>
              <w:jc w:val="center"/>
            </w:pPr>
            <w:r>
              <w:rPr>
                <w:rFonts w:ascii="Calibri" w:cs="Calibri" w:eastAsia="Calibri" w:hAnsi="Calibri"/>
                <w:b w:val="false"/>
                <w:bCs w:val="false"/>
                <w:color w:val="1A202C"/>
                <w:sz w:val="19"/>
                <w:szCs w:val="19"/>
              </w:rPr>
              <w:t xml:space="preserve">4</w:t>
            </w:r>
          </w:p>
        </w:tc>
        <w:tc>
          <w:tcPr>
            <w:tcW w:type="pct" w:w="3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Contact form — No CAPTCHA / spam protection</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Low</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Low</w:t>
            </w:r>
          </w:p>
        </w:tc>
        <w:tc>
          <w:tcPr>
            <w:tcW w:type="pct" w:w="2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Bot submissions possible. Low risk during current beta/cohort phase.</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Before public launch</w:t>
            </w:r>
          </w:p>
        </w:tc>
      </w:tr>
      <w:tr>
        <w:tc>
          <w:tcPr>
            <w:tcW w:type="pct" w:w="4%"/>
            <w:shd w:color="F8F9FC" w:val="solid"/>
            <w:tcMar>
              <w:top w:type="dxa" w:w="60"/>
              <w:left w:type="dxa" w:w="160"/>
              <w:bottom w:type="dxa" w:w="60"/>
              <w:right w:type="dxa" w:w="160"/>
            </w:tcMar>
            <w:vAlign w:val="center"/>
          </w:tcPr>
          <w:p>
            <w:pPr>
              <w:spacing w:after="0"/>
              <w:jc w:val="center"/>
            </w:pPr>
            <w:r>
              <w:rPr>
                <w:rFonts w:ascii="Calibri" w:cs="Calibri" w:eastAsia="Calibri" w:hAnsi="Calibri"/>
                <w:b w:val="false"/>
                <w:bCs w:val="false"/>
                <w:color w:val="1A202C"/>
                <w:sz w:val="19"/>
                <w:szCs w:val="19"/>
              </w:rPr>
              <w:t xml:space="preserve">5</w:t>
            </w:r>
          </w:p>
        </w:tc>
        <w:tc>
          <w:tcPr>
            <w:tcW w:type="pct" w:w="3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POPIA disclosure for AI financial processing</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Low</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tcW w:type="pct" w:w="2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Users not explicitly informed of Anthropic data processing. Compliance risk.</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Before public launch</w:t>
            </w:r>
          </w:p>
        </w:tc>
      </w:tr>
      <w:tr>
        <w:tc>
          <w:tcPr>
            <w:tcW w:type="pct" w:w="4%"/>
            <w:shd w:color="F8F9FC" w:val="solid"/>
            <w:tcMar>
              <w:top w:type="dxa" w:w="60"/>
              <w:left w:type="dxa" w:w="160"/>
              <w:bottom w:type="dxa" w:w="60"/>
              <w:right w:type="dxa" w:w="160"/>
            </w:tcMar>
            <w:vAlign w:val="center"/>
          </w:tcPr>
          <w:p>
            <w:pPr>
              <w:spacing w:after="0"/>
              <w:jc w:val="center"/>
            </w:pPr>
            <w:r>
              <w:rPr>
                <w:rFonts w:ascii="Calibri" w:cs="Calibri" w:eastAsia="Calibri" w:hAnsi="Calibri"/>
                <w:b w:val="false"/>
                <w:bCs w:val="false"/>
                <w:color w:val="1A202C"/>
                <w:sz w:val="19"/>
                <w:szCs w:val="19"/>
              </w:rPr>
              <w:t xml:space="preserve">6</w:t>
            </w:r>
          </w:p>
        </w:tc>
        <w:tc>
          <w:tcPr>
            <w:tcW w:type="pct" w:w="3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Dynamic penetration test not yet conducted</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shd w:color="FEF3C7" w:val="solid"/>
            <w:tcMar>
              <w:top w:type="dxa" w:w="60"/>
              <w:left w:type="dxa" w:w="160"/>
              <w:bottom w:type="dxa" w:w="60"/>
              <w:right w:type="dxa" w:w="160"/>
            </w:tcMar>
            <w:vAlign w:val="center"/>
          </w:tcPr>
          <w:p>
            <w:pPr>
              <w:spacing w:after="0"/>
              <w:jc w:val="center"/>
            </w:pPr>
            <w:r>
              <w:rPr>
                <w:rFonts w:ascii="Calibri" w:cs="Calibri" w:eastAsia="Calibri" w:hAnsi="Calibri"/>
                <w:b/>
                <w:bCs/>
                <w:color w:val="92400E"/>
                <w:sz w:val="19"/>
                <w:szCs w:val="19"/>
              </w:rPr>
              <w:t xml:space="preserve">Medium</w:t>
            </w:r>
          </w:p>
        </w:tc>
        <w:tc>
          <w:tcPr>
            <w:tcW w:type="pct" w:w="2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Static analysis only. Runtime vulnerabilities may remain undetected.</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Pre-launch milestone</w:t>
            </w:r>
          </w:p>
        </w:tc>
      </w:tr>
      <w:tr>
        <w:tc>
          <w:tcPr>
            <w:tcW w:type="pct" w:w="4%"/>
            <w:shd w:color="F8F9FC" w:val="solid"/>
            <w:tcMar>
              <w:top w:type="dxa" w:w="60"/>
              <w:left w:type="dxa" w:w="160"/>
              <w:bottom w:type="dxa" w:w="60"/>
              <w:right w:type="dxa" w:w="160"/>
            </w:tcMar>
            <w:vAlign w:val="center"/>
          </w:tcPr>
          <w:p>
            <w:pPr>
              <w:spacing w:after="0"/>
              <w:jc w:val="center"/>
            </w:pPr>
            <w:r>
              <w:rPr>
                <w:rFonts w:ascii="Calibri" w:cs="Calibri" w:eastAsia="Calibri" w:hAnsi="Calibri"/>
                <w:b w:val="false"/>
                <w:bCs w:val="false"/>
                <w:color w:val="1A202C"/>
                <w:sz w:val="19"/>
                <w:szCs w:val="19"/>
              </w:rPr>
              <w:t xml:space="preserve">7</w:t>
            </w:r>
          </w:p>
        </w:tc>
        <w:tc>
          <w:tcPr>
            <w:tcW w:type="pct" w:w="38%"/>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Google OAuth consent screen shows Supabase URL</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Low</w:t>
            </w:r>
          </w:p>
        </w:tc>
        <w:tc>
          <w:tcPr>
            <w:shd w:color="DCFCE7" w:val="solid"/>
            <w:tcMar>
              <w:top w:type="dxa" w:w="60"/>
              <w:left w:type="dxa" w:w="160"/>
              <w:bottom w:type="dxa" w:w="60"/>
              <w:right w:type="dxa" w:w="160"/>
            </w:tcMar>
            <w:vAlign w:val="center"/>
          </w:tcPr>
          <w:p>
            <w:pPr>
              <w:spacing w:after="0"/>
              <w:jc w:val="center"/>
            </w:pPr>
            <w:r>
              <w:rPr>
                <w:rFonts w:ascii="Calibri" w:cs="Calibri" w:eastAsia="Calibri" w:hAnsi="Calibri"/>
                <w:b/>
                <w:bCs/>
                <w:color w:val="166534"/>
                <w:sz w:val="19"/>
                <w:szCs w:val="19"/>
              </w:rPr>
              <w:t xml:space="preserve">Low</w:t>
            </w:r>
          </w:p>
        </w:tc>
        <w:tc>
          <w:tcPr>
            <w:tcW w:type="pct" w:w="22%"/>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BUG-003 — Pending supervisor action in Google Cloud Console.</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8"/>
                <w:szCs w:val="18"/>
              </w:rPr>
              <w:t xml:space="preserve">Actively tracked</w:t>
            </w:r>
          </w:p>
        </w:tc>
      </w:tr>
    </w:tbl>
    <w:p>
      <w:r>
        <w:br w:type="page"/>
      </w:r>
    </w:p>
    <w:p>
      <w:pPr>
        <w:pStyle w:val="Heading1"/>
        <w:shd w:color="1F3A6E" w:val="solid"/>
        <w:spacing w:before="280" w:after="0"/>
        <w:ind w:left="172" w:right="172"/>
        <w:jc w:val="left"/>
      </w:pPr>
      <w:r>
        <w:rPr>
          <w:rFonts w:ascii="Calibri" w:cs="Calibri" w:eastAsia="Calibri" w:hAnsi="Calibri"/>
          <w:b/>
          <w:bCs/>
          <w:color w:val="FFFFFF"/>
          <w:sz w:val="26"/>
          <w:szCs w:val="26"/>
        </w:rPr>
        <w:t xml:space="preserve">6.  Recommendations</w:t>
      </w:r>
    </w:p>
    <w:p>
      <w:pPr>
        <w:spacing w:after="60"/>
      </w:pPr>
      <w:r>
        <w:t xml:space="preserve"> </w:t>
      </w:r>
    </w:p>
    <w:p>
      <w:pPr>
        <w:spacing w:before="0" w:after="100" w:line="276" w:lineRule="auto"/>
      </w:pPr>
      <w:r>
        <w:rPr>
          <w:rFonts w:ascii="Calibri" w:cs="Calibri" w:eastAsia="Calibri" w:hAnsi="Calibri"/>
          <w:color w:val="1A202C"/>
          <w:sz w:val="21"/>
          <w:szCs w:val="21"/>
        </w:rPr>
        <w:t xml:space="preserve">The following recommendations are prioritised by risk severity and development effort. Items marked HIGH should be completed in the next sprint. MEDIUM items must be addressed before scaling the user base. LOW items should be resolved before public launch.</w:t>
      </w:r>
    </w:p>
    <w:p>
      <w:pPr>
        <w:spacing w:after="12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gridCol w:w="100"/>
      </w:tblGrid>
      <w:tr>
        <w:tc>
          <w:tcPr>
            <w:tcW w:type="pct" w:w="52%"/>
            <w:shd w:color="1F3A6E" w:val="solid"/>
            <w:tcMar>
              <w:top w:type="dxa" w:w="100"/>
              <w:left w:type="dxa" w:w="200"/>
              <w:bottom w:type="dxa" w:w="100"/>
              <w:right w:type="dxa" w:w="200"/>
            </w:tcMar>
          </w:tcPr>
          <w:p>
            <w:pPr>
              <w:spacing w:after="0"/>
            </w:pPr>
            <w:r>
              <w:rPr>
                <w:rFonts w:ascii="Calibri" w:cs="Calibri" w:eastAsia="Calibri" w:hAnsi="Calibri"/>
                <w:b/>
                <w:bCs/>
                <w:color w:val="FFFFFF"/>
                <w:sz w:val="20"/>
                <w:szCs w:val="20"/>
              </w:rPr>
              <w:t xml:space="preserve">Replace SheetJS (xlsx) with ExcelJS</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Priority</w:t>
            </w:r>
          </w:p>
        </w:tc>
        <w:tc>
          <w:tcPr>
            <w:tcW w:type="pct" w:w="12%"/>
            <w:shd w:color="F1F3F7" w:val="solid"/>
            <w:tcMar>
              <w:top w:type="dxa" w:w="100"/>
              <w:left w:type="dxa" w:w="160"/>
              <w:bottom w:type="dxa" w:w="100"/>
            </w:tcMar>
          </w:tcPr>
          <w:p>
            <w:pPr>
              <w:spacing w:after="0"/>
            </w:pPr>
            <w:r>
              <w:rPr>
                <w:rFonts w:ascii="Calibri" w:cs="Calibri" w:eastAsia="Calibri" w:hAnsi="Calibri"/>
                <w:b/>
                <w:bCs/>
                <w:color w:val="4A5568"/>
                <w:sz w:val="19"/>
                <w:szCs w:val="19"/>
              </w:rPr>
              <w:t xml:space="preserve">HIGH</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Effort</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2–3 days</w:t>
            </w:r>
          </w:p>
        </w:tc>
      </w:tr>
      <w:tr>
        <w:tc>
          <w:tcPr>
            <w:gridSpan w:val="5"/>
            <w:tcMar>
              <w:top w:type="dxa" w:w="120"/>
              <w:left w:type="dxa" w:w="200"/>
              <w:bottom w:type="dxa" w:w="160"/>
              <w:right w:type="dxa" w:w="200"/>
            </w:tcMar>
          </w:tcPr>
          <w:p>
            <w:pPr>
              <w:spacing w:after="0"/>
            </w:pPr>
            <w:r>
              <w:rPr>
                <w:rFonts w:ascii="Calibri" w:cs="Calibri" w:eastAsia="Calibri" w:hAnsi="Calibri"/>
                <w:color w:val="1A202C"/>
                <w:sz w:val="19"/>
                <w:szCs w:val="19"/>
              </w:rPr>
              <w:t xml:space="preserve">The xlsx/SheetJS package has two unpatched High-severity advisories (Prototype Pollution — CVE and ReDoS) with no vendor fix available or planned. Replace with the ExcelJS library in client/src/components/portal/FileUploadZone.tsx. ExcelJS provides equivalent XLSX read/write capability without the CVEs. Remove the xlsx package from package.json after migration.</w:t>
            </w:r>
          </w:p>
        </w:tc>
      </w:tr>
    </w:tbl>
    <w:p>
      <w:pPr>
        <w:spacing w:after="6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gridCol w:w="100"/>
      </w:tblGrid>
      <w:tr>
        <w:tc>
          <w:tcPr>
            <w:tcW w:type="pct" w:w="52%"/>
            <w:shd w:color="1F3A6E" w:val="solid"/>
            <w:tcMar>
              <w:top w:type="dxa" w:w="100"/>
              <w:left w:type="dxa" w:w="200"/>
              <w:bottom w:type="dxa" w:w="100"/>
              <w:right w:type="dxa" w:w="200"/>
            </w:tcMar>
          </w:tcPr>
          <w:p>
            <w:pPr>
              <w:spacing w:after="0"/>
            </w:pPr>
            <w:r>
              <w:rPr>
                <w:rFonts w:ascii="Calibri" w:cs="Calibri" w:eastAsia="Calibri" w:hAnsi="Calibri"/>
                <w:b/>
                <w:bCs/>
                <w:color w:val="FFFFFF"/>
                <w:sz w:val="20"/>
                <w:szCs w:val="20"/>
              </w:rPr>
              <w:t xml:space="preserve">Implement Rate Limiting on AI Financial Analysis API</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Priority</w:t>
            </w:r>
          </w:p>
        </w:tc>
        <w:tc>
          <w:tcPr>
            <w:tcW w:type="pct" w:w="12%"/>
            <w:shd w:color="F1F3F7" w:val="solid"/>
            <w:tcMar>
              <w:top w:type="dxa" w:w="100"/>
              <w:left w:type="dxa" w:w="160"/>
              <w:bottom w:type="dxa" w:w="100"/>
            </w:tcMar>
          </w:tcPr>
          <w:p>
            <w:pPr>
              <w:spacing w:after="0"/>
            </w:pPr>
            <w:r>
              <w:rPr>
                <w:rFonts w:ascii="Calibri" w:cs="Calibri" w:eastAsia="Calibri" w:hAnsi="Calibri"/>
                <w:b/>
                <w:bCs/>
                <w:color w:val="4A5568"/>
                <w:sz w:val="19"/>
                <w:szCs w:val="19"/>
              </w:rPr>
              <w:t xml:space="preserve">MEDIUM</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Effort</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1–2 days</w:t>
            </w:r>
          </w:p>
        </w:tc>
      </w:tr>
      <w:tr>
        <w:tc>
          <w:tcPr>
            <w:gridSpan w:val="5"/>
            <w:tcMar>
              <w:top w:type="dxa" w:w="120"/>
              <w:left w:type="dxa" w:w="200"/>
              <w:bottom w:type="dxa" w:w="160"/>
              <w:right w:type="dxa" w:w="200"/>
            </w:tcMar>
          </w:tcPr>
          <w:p>
            <w:pPr>
              <w:spacing w:after="0"/>
            </w:pPr>
            <w:r>
              <w:rPr>
                <w:rFonts w:ascii="Calibri" w:cs="Calibri" w:eastAsia="Calibri" w:hAnsi="Calibri"/>
                <w:color w:val="1A202C"/>
                <w:sz w:val="19"/>
                <w:szCs w:val="19"/>
              </w:rPr>
              <w:t xml:space="preserve">The /api/analyze-financials endpoint processes paid Anthropic Claude API calls. There is no per-user call limit, exposing the platform to cost overruns if an authenticated user loops requests. Implement a usage limit (suggested: 10 analyses per user per 24 hours) using Vercel KV or a Supabase counter table. Return HTTP 429 with a descriptive message when the limit is exceeded.</w:t>
            </w:r>
          </w:p>
        </w:tc>
      </w:tr>
    </w:tbl>
    <w:p>
      <w:pPr>
        <w:spacing w:after="6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gridCol w:w="100"/>
      </w:tblGrid>
      <w:tr>
        <w:tc>
          <w:tcPr>
            <w:tcW w:type="pct" w:w="52%"/>
            <w:shd w:color="1F3A6E" w:val="solid"/>
            <w:tcMar>
              <w:top w:type="dxa" w:w="100"/>
              <w:left w:type="dxa" w:w="200"/>
              <w:bottom w:type="dxa" w:w="100"/>
              <w:right w:type="dxa" w:w="200"/>
            </w:tcMar>
          </w:tcPr>
          <w:p>
            <w:pPr>
              <w:spacing w:after="0"/>
            </w:pPr>
            <w:r>
              <w:rPr>
                <w:rFonts w:ascii="Calibri" w:cs="Calibri" w:eastAsia="Calibri" w:hAnsi="Calibri"/>
                <w:b/>
                <w:bCs/>
                <w:color w:val="FFFFFF"/>
                <w:sz w:val="20"/>
                <w:szCs w:val="20"/>
              </w:rPr>
              <w:t xml:space="preserve">Add POPIA Data Processing Disclosure on Financial Analysis Tool</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Priority</w:t>
            </w:r>
          </w:p>
        </w:tc>
        <w:tc>
          <w:tcPr>
            <w:tcW w:type="pct" w:w="12%"/>
            <w:shd w:color="F1F3F7" w:val="solid"/>
            <w:tcMar>
              <w:top w:type="dxa" w:w="100"/>
              <w:left w:type="dxa" w:w="160"/>
              <w:bottom w:type="dxa" w:w="100"/>
            </w:tcMar>
          </w:tcPr>
          <w:p>
            <w:pPr>
              <w:spacing w:after="0"/>
            </w:pPr>
            <w:r>
              <w:rPr>
                <w:rFonts w:ascii="Calibri" w:cs="Calibri" w:eastAsia="Calibri" w:hAnsi="Calibri"/>
                <w:b/>
                <w:bCs/>
                <w:color w:val="4A5568"/>
                <w:sz w:val="19"/>
                <w:szCs w:val="19"/>
              </w:rPr>
              <w:t xml:space="preserve">MEDIUM</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Effort</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&lt; 1 day</w:t>
            </w:r>
          </w:p>
        </w:tc>
      </w:tr>
      <w:tr>
        <w:tc>
          <w:tcPr>
            <w:gridSpan w:val="5"/>
            <w:tcMar>
              <w:top w:type="dxa" w:w="120"/>
              <w:left w:type="dxa" w:w="200"/>
              <w:bottom w:type="dxa" w:w="160"/>
              <w:right w:type="dxa" w:w="200"/>
            </w:tcMar>
          </w:tcPr>
          <w:p>
            <w:pPr>
              <w:spacing w:after="0"/>
            </w:pPr>
            <w:r>
              <w:rPr>
                <w:rFonts w:ascii="Calibri" w:cs="Calibri" w:eastAsia="Calibri" w:hAnsi="Calibri"/>
                <w:color w:val="1A202C"/>
                <w:sz w:val="19"/>
                <w:szCs w:val="19"/>
              </w:rPr>
              <w:t xml:space="preserve">When users upload financial documents, the content is transmitted to Anthropic's Claude API (a U.S.-based third-party AI provider). Under POPIA, users must be informed of third-party data processing for sensitive financial information. Add a brief, visible disclosure notice on the FinancialAnalysisTool page before the first submission, stating that document content is processed by Anthropic AI and is not retained beyond the session.</w:t>
            </w:r>
          </w:p>
        </w:tc>
      </w:tr>
    </w:tbl>
    <w:p>
      <w:pPr>
        <w:spacing w:after="6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gridCol w:w="100"/>
      </w:tblGrid>
      <w:tr>
        <w:tc>
          <w:tcPr>
            <w:tcW w:type="pct" w:w="52%"/>
            <w:shd w:color="1F3A6E" w:val="solid"/>
            <w:tcMar>
              <w:top w:type="dxa" w:w="100"/>
              <w:left w:type="dxa" w:w="200"/>
              <w:bottom w:type="dxa" w:w="100"/>
              <w:right w:type="dxa" w:w="200"/>
            </w:tcMar>
          </w:tcPr>
          <w:p>
            <w:pPr>
              <w:spacing w:after="0"/>
            </w:pPr>
            <w:r>
              <w:rPr>
                <w:rFonts w:ascii="Calibri" w:cs="Calibri" w:eastAsia="Calibri" w:hAnsi="Calibri"/>
                <w:b/>
                <w:bCs/>
                <w:color w:val="FFFFFF"/>
                <w:sz w:val="20"/>
                <w:szCs w:val="20"/>
              </w:rPr>
              <w:t xml:space="preserve">Upgrade @vercel/node to v4.0.0</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Priority</w:t>
            </w:r>
          </w:p>
        </w:tc>
        <w:tc>
          <w:tcPr>
            <w:tcW w:type="pct" w:w="12%"/>
            <w:shd w:color="F1F3F7" w:val="solid"/>
            <w:tcMar>
              <w:top w:type="dxa" w:w="100"/>
              <w:left w:type="dxa" w:w="160"/>
              <w:bottom w:type="dxa" w:w="100"/>
            </w:tcMar>
          </w:tcPr>
          <w:p>
            <w:pPr>
              <w:spacing w:after="0"/>
            </w:pPr>
            <w:r>
              <w:rPr>
                <w:rFonts w:ascii="Calibri" w:cs="Calibri" w:eastAsia="Calibri" w:hAnsi="Calibri"/>
                <w:b/>
                <w:bCs/>
                <w:color w:val="4A5568"/>
                <w:sz w:val="19"/>
                <w:szCs w:val="19"/>
              </w:rPr>
              <w:t xml:space="preserve">MEDIUM</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Effort</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1 day + testing</w:t>
            </w:r>
          </w:p>
        </w:tc>
      </w:tr>
      <w:tr>
        <w:tc>
          <w:tcPr>
            <w:gridSpan w:val="5"/>
            <w:tcMar>
              <w:top w:type="dxa" w:w="120"/>
              <w:left w:type="dxa" w:w="200"/>
              <w:bottom w:type="dxa" w:w="160"/>
              <w:right w:type="dxa" w:w="200"/>
            </w:tcMar>
          </w:tcPr>
          <w:p>
            <w:pPr>
              <w:spacing w:after="0"/>
            </w:pPr>
            <w:r>
              <w:rPr>
                <w:rFonts w:ascii="Calibri" w:cs="Calibri" w:eastAsia="Calibri" w:hAnsi="Calibri"/>
                <w:color w:val="1A202C"/>
                <w:sz w:val="19"/>
                <w:szCs w:val="19"/>
              </w:rPr>
              <w:t xml:space="preserve">The current @vercel/node version pulls in vulnerable versions of minimatch, path-to-regexp, and undici via its dependency chain. Upgrading to @vercel/node v4.0.0 resolves all of these (6 High, 3 Moderate advisories). This is a breaking change — review the v4.0.0 migration guide and test api/analyze-financials.ts in the Vercel staging environment before promoting.</w:t>
            </w:r>
          </w:p>
        </w:tc>
      </w:tr>
    </w:tbl>
    <w:p>
      <w:pPr>
        <w:spacing w:after="6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gridCol w:w="100"/>
      </w:tblGrid>
      <w:tr>
        <w:tc>
          <w:tcPr>
            <w:tcW w:type="pct" w:w="52%"/>
            <w:shd w:color="1F3A6E" w:val="solid"/>
            <w:tcMar>
              <w:top w:type="dxa" w:w="100"/>
              <w:left w:type="dxa" w:w="200"/>
              <w:bottom w:type="dxa" w:w="100"/>
              <w:right w:type="dxa" w:w="200"/>
            </w:tcMar>
          </w:tcPr>
          <w:p>
            <w:pPr>
              <w:spacing w:after="0"/>
            </w:pPr>
            <w:r>
              <w:rPr>
                <w:rFonts w:ascii="Calibri" w:cs="Calibri" w:eastAsia="Calibri" w:hAnsi="Calibri"/>
                <w:b/>
                <w:bCs/>
                <w:color w:val="FFFFFF"/>
                <w:sz w:val="20"/>
                <w:szCs w:val="20"/>
              </w:rPr>
              <w:t xml:space="preserve">Add Spam Protection to the Contact Form</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Priority</w:t>
            </w:r>
          </w:p>
        </w:tc>
        <w:tc>
          <w:tcPr>
            <w:tcW w:type="pct" w:w="12%"/>
            <w:shd w:color="F1F3F7" w:val="solid"/>
            <w:tcMar>
              <w:top w:type="dxa" w:w="100"/>
              <w:left w:type="dxa" w:w="160"/>
              <w:bottom w:type="dxa" w:w="100"/>
            </w:tcMar>
          </w:tcPr>
          <w:p>
            <w:pPr>
              <w:spacing w:after="0"/>
            </w:pPr>
            <w:r>
              <w:rPr>
                <w:rFonts w:ascii="Calibri" w:cs="Calibri" w:eastAsia="Calibri" w:hAnsi="Calibri"/>
                <w:b/>
                <w:bCs/>
                <w:color w:val="4A5568"/>
                <w:sz w:val="19"/>
                <w:szCs w:val="19"/>
              </w:rPr>
              <w:t xml:space="preserve">LOW</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Effort</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1 day</w:t>
            </w:r>
          </w:p>
        </w:tc>
      </w:tr>
      <w:tr>
        <w:tc>
          <w:tcPr>
            <w:gridSpan w:val="5"/>
            <w:tcMar>
              <w:top w:type="dxa" w:w="120"/>
              <w:left w:type="dxa" w:w="200"/>
              <w:bottom w:type="dxa" w:w="160"/>
              <w:right w:type="dxa" w:w="200"/>
            </w:tcMar>
          </w:tcPr>
          <w:p>
            <w:pPr>
              <w:spacing w:after="0"/>
            </w:pPr>
            <w:r>
              <w:rPr>
                <w:rFonts w:ascii="Calibri" w:cs="Calibri" w:eastAsia="Calibri" w:hAnsi="Calibri"/>
                <w:color w:val="1A202C"/>
                <w:sz w:val="19"/>
                <w:szCs w:val="19"/>
              </w:rPr>
              <w:t xml:space="preserve">The public contact form has no bot-detection or rate-limiting controls. Integrate Cloudflare Turnstile (free tier, privacy-respecting) or hCaptcha. Add the token field to the frontend form and verify server-side in netlify/functions/contact.ts before accepting any submission.</w:t>
            </w:r>
          </w:p>
        </w:tc>
      </w:tr>
    </w:tbl>
    <w:p>
      <w:pPr>
        <w:spacing w:after="6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gridCol w:w="100"/>
      </w:tblGrid>
      <w:tr>
        <w:tc>
          <w:tcPr>
            <w:tcW w:type="pct" w:w="52%"/>
            <w:shd w:color="1F3A6E" w:val="solid"/>
            <w:tcMar>
              <w:top w:type="dxa" w:w="100"/>
              <w:left w:type="dxa" w:w="200"/>
              <w:bottom w:type="dxa" w:w="100"/>
              <w:right w:type="dxa" w:w="200"/>
            </w:tcMar>
          </w:tcPr>
          <w:p>
            <w:pPr>
              <w:spacing w:after="0"/>
            </w:pPr>
            <w:r>
              <w:rPr>
                <w:rFonts w:ascii="Calibri" w:cs="Calibri" w:eastAsia="Calibri" w:hAnsi="Calibri"/>
                <w:b/>
                <w:bCs/>
                <w:color w:val="FFFFFF"/>
                <w:sz w:val="20"/>
                <w:szCs w:val="20"/>
              </w:rPr>
              <w:t xml:space="preserve">Commission a Dynamic Penetration Test (DAST)</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Priority</w:t>
            </w:r>
          </w:p>
        </w:tc>
        <w:tc>
          <w:tcPr>
            <w:tcW w:type="pct" w:w="12%"/>
            <w:shd w:color="F1F3F7" w:val="solid"/>
            <w:tcMar>
              <w:top w:type="dxa" w:w="100"/>
              <w:left w:type="dxa" w:w="160"/>
              <w:bottom w:type="dxa" w:w="100"/>
            </w:tcMar>
          </w:tcPr>
          <w:p>
            <w:pPr>
              <w:spacing w:after="0"/>
            </w:pPr>
            <w:r>
              <w:rPr>
                <w:rFonts w:ascii="Calibri" w:cs="Calibri" w:eastAsia="Calibri" w:hAnsi="Calibri"/>
                <w:b/>
                <w:bCs/>
                <w:color w:val="4A5568"/>
                <w:sz w:val="19"/>
                <w:szCs w:val="19"/>
              </w:rPr>
              <w:t xml:space="preserve">MEDIUM</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Effort</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External</w:t>
            </w:r>
          </w:p>
        </w:tc>
      </w:tr>
      <w:tr>
        <w:tc>
          <w:tcPr>
            <w:gridSpan w:val="5"/>
            <w:tcMar>
              <w:top w:type="dxa" w:w="120"/>
              <w:left w:type="dxa" w:w="200"/>
              <w:bottom w:type="dxa" w:w="160"/>
              <w:right w:type="dxa" w:w="200"/>
            </w:tcMar>
          </w:tcPr>
          <w:p>
            <w:pPr>
              <w:spacing w:after="0"/>
            </w:pPr>
            <w:r>
              <w:rPr>
                <w:rFonts w:ascii="Calibri" w:cs="Calibri" w:eastAsia="Calibri" w:hAnsi="Calibri"/>
                <w:color w:val="1A202C"/>
                <w:sz w:val="19"/>
                <w:szCs w:val="19"/>
              </w:rPr>
              <w:t xml:space="preserve">This audit covers static code analysis only. A dynamic / runtime penetration test using tools such as OWASP ZAP against the staging environment will detect runtime vulnerabilities not visible in source code — including session fixation, clickjacking bypass, cookie misconfigurations, and API enumeration. This should be completed and remediated before opening registration to the general public.</w:t>
            </w:r>
          </w:p>
        </w:tc>
      </w:tr>
    </w:tbl>
    <w:p>
      <w:pPr>
        <w:spacing w:after="6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gridCol w:w="100"/>
        <w:gridCol w:w="100"/>
      </w:tblGrid>
      <w:tr>
        <w:tc>
          <w:tcPr>
            <w:tcW w:type="pct" w:w="52%"/>
            <w:shd w:color="1F3A6E" w:val="solid"/>
            <w:tcMar>
              <w:top w:type="dxa" w:w="100"/>
              <w:left w:type="dxa" w:w="200"/>
              <w:bottom w:type="dxa" w:w="100"/>
              <w:right w:type="dxa" w:w="200"/>
            </w:tcMar>
          </w:tcPr>
          <w:p>
            <w:pPr>
              <w:spacing w:after="0"/>
            </w:pPr>
            <w:r>
              <w:rPr>
                <w:rFonts w:ascii="Calibri" w:cs="Calibri" w:eastAsia="Calibri" w:hAnsi="Calibri"/>
                <w:b/>
                <w:bCs/>
                <w:color w:val="FFFFFF"/>
                <w:sz w:val="20"/>
                <w:szCs w:val="20"/>
              </w:rPr>
              <w:t xml:space="preserve">Legal Review of Privacy Policy for AI Data Processing</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Priority</w:t>
            </w:r>
          </w:p>
        </w:tc>
        <w:tc>
          <w:tcPr>
            <w:tcW w:type="pct" w:w="12%"/>
            <w:shd w:color="F1F3F7" w:val="solid"/>
            <w:tcMar>
              <w:top w:type="dxa" w:w="100"/>
              <w:left w:type="dxa" w:w="160"/>
              <w:bottom w:type="dxa" w:w="100"/>
            </w:tcMar>
          </w:tcPr>
          <w:p>
            <w:pPr>
              <w:spacing w:after="0"/>
            </w:pPr>
            <w:r>
              <w:rPr>
                <w:rFonts w:ascii="Calibri" w:cs="Calibri" w:eastAsia="Calibri" w:hAnsi="Calibri"/>
                <w:b/>
                <w:bCs/>
                <w:color w:val="4A5568"/>
                <w:sz w:val="19"/>
                <w:szCs w:val="19"/>
              </w:rPr>
              <w:t xml:space="preserve">LOW</w:t>
            </w:r>
          </w:p>
        </w:tc>
        <w:tc>
          <w:tcPr>
            <w:tcW w:type="pct" w:w="12%"/>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Effort</w:t>
            </w:r>
          </w:p>
        </w:tc>
        <w:tc>
          <w:tcPr>
            <w:tcW w:type="pct" w:w="12%"/>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Legal counsel</w:t>
            </w:r>
          </w:p>
        </w:tc>
      </w:tr>
      <w:tr>
        <w:tc>
          <w:tcPr>
            <w:gridSpan w:val="5"/>
            <w:tcMar>
              <w:top w:type="dxa" w:w="120"/>
              <w:left w:type="dxa" w:w="200"/>
              <w:bottom w:type="dxa" w:w="160"/>
              <w:right w:type="dxa" w:w="200"/>
            </w:tcMar>
          </w:tcPr>
          <w:p>
            <w:pPr>
              <w:spacing w:after="0"/>
            </w:pPr>
            <w:r>
              <w:rPr>
                <w:rFonts w:ascii="Calibri" w:cs="Calibri" w:eastAsia="Calibri" w:hAnsi="Calibri"/>
                <w:color w:val="1A202C"/>
                <w:sz w:val="19"/>
                <w:szCs w:val="19"/>
              </w:rPr>
              <w:t xml:space="preserve">The current Privacy Policy may not explicitly cover transmission of financial data to Anthropic AI. Engage legal counsel to review and update the policy to include: (1) what data is processed, (2) which third-party processors receive it, (3) whether consent is required under POPIA for this processing, and (4) how users may request data deletion.</w:t>
            </w:r>
          </w:p>
        </w:tc>
      </w:tr>
    </w:tbl>
    <w:p>
      <w:pPr>
        <w:spacing w:after="60"/>
      </w:pPr>
      <w:r>
        <w:t xml:space="preserve"> </w:t>
      </w:r>
    </w:p>
    <w:p>
      <w:r>
        <w:br w:type="page"/>
      </w:r>
    </w:p>
    <w:p>
      <w:pPr>
        <w:pStyle w:val="Heading1"/>
        <w:shd w:color="1F3A6E" w:val="solid"/>
        <w:spacing w:before="280" w:after="0"/>
        <w:ind w:left="172" w:right="172"/>
        <w:jc w:val="left"/>
      </w:pPr>
      <w:r>
        <w:rPr>
          <w:rFonts w:ascii="Calibri" w:cs="Calibri" w:eastAsia="Calibri" w:hAnsi="Calibri"/>
          <w:b/>
          <w:bCs/>
          <w:color w:val="FFFFFF"/>
          <w:sz w:val="26"/>
          <w:szCs w:val="26"/>
        </w:rPr>
        <w:t xml:space="preserve">7.  Conclusion</w:t>
      </w:r>
    </w:p>
    <w:p>
      <w:pPr>
        <w:spacing w:after="60"/>
      </w:pPr>
      <w:r>
        <w:t xml:space="preserve"> </w:t>
      </w:r>
    </w:p>
    <w:p>
      <w:pPr>
        <w:spacing w:before="0" w:after="100" w:line="276" w:lineRule="auto"/>
      </w:pPr>
      <w:r>
        <w:rPr>
          <w:rFonts w:ascii="Calibri" w:cs="Calibri" w:eastAsia="Calibri" w:hAnsi="Calibri"/>
          <w:color w:val="1A202C"/>
          <w:sz w:val="21"/>
          <w:szCs w:val="21"/>
        </w:rPr>
        <w:t xml:space="preserve">The EDMECA Digital Academy platform demonstrates a solid and well-considered security baseline for a development-stage application. All five issues identified in application code during this audit cycle have been fully remediated. The platform now achieves a score of 9 PASS, 0 FAIL across ten security test categories — with one REVIEW item relating exclusively to third-party dependency CVEs outside direct application control.</w:t>
      </w:r>
    </w:p>
    <w:p>
      <w:pPr>
        <w:spacing w:after="80"/>
      </w:pPr>
      <w:r>
        <w:t xml:space="preserve"> </w:t>
      </w:r>
    </w:p>
    <w:p>
      <w:pPr>
        <w:spacing w:before="0" w:after="100" w:line="276" w:lineRule="auto"/>
      </w:pPr>
      <w:r>
        <w:rPr>
          <w:rFonts w:ascii="Calibri" w:cs="Calibri" w:eastAsia="Calibri" w:hAnsi="Calibri"/>
          <w:color w:val="1A202C"/>
          <w:sz w:val="21"/>
          <w:szCs w:val="21"/>
        </w:rPr>
        <w:t xml:space="preserve">The core security controls are correctly implemented: Supabase JWT authentication, row-level database security, XSS-safe rendering, secrets in environment variables, strict CORS allowlists, and HTTP security headers (HSTS, CSP, Permissions-Policy). These provide a strong security foundation that meets the expected standard for a production-grade educational technology platform.</w:t>
      </w:r>
    </w:p>
    <w:p>
      <w:pPr>
        <w:spacing w:after="80"/>
      </w:pPr>
      <w:r>
        <w:t xml:space="preserve"> </w:t>
      </w:r>
    </w:p>
    <w:p>
      <w:pPr>
        <w:spacing w:before="0" w:after="100" w:line="276" w:lineRule="auto"/>
      </w:pPr>
      <w:r>
        <w:rPr>
          <w:rFonts w:ascii="Calibri" w:cs="Calibri" w:eastAsia="Calibri" w:hAnsi="Calibri"/>
          <w:color w:val="1A202C"/>
          <w:sz w:val="21"/>
          <w:szCs w:val="21"/>
        </w:rPr>
        <w:t xml:space="preserve">The platform is assessed as ready for continued controlled rollout to cohorts and programme participants. The remaining action items — xlsx library replacement, rate limiting, and a POPIA disclosure notice — should be prioritised in the next development sprint. A full dynamic (DAST) penetration test is strongly recommended before opening registration to the general public.</w:t>
      </w:r>
    </w:p>
    <w:p>
      <w:pPr>
        <w:spacing w:after="200"/>
      </w:pPr>
      <w:r>
        <w:t xml:space="preserve"> </w:t>
      </w:r>
    </w:p>
    <w:tbl>
      <w:tblPr>
        <w:tblW w:type="pct" w:w="100%"/>
        <w:tblBorders>
          <w:top w:val="single" w:color="DDE2EC" w:sz="8"/>
          <w:left w:val="single" w:color="DDE2EC" w:sz="8"/>
          <w:bottom w:val="single" w:color="DDE2EC" w:sz="8"/>
          <w:right w:val="single" w:color="DDE2EC" w:sz="8"/>
          <w:insideH w:val="single" w:color="auto" w:sz="4"/>
          <w:insideV w:val="single" w:color="auto" w:sz="4"/>
        </w:tblBorders>
      </w:tblPr>
      <w:tblGrid>
        <w:gridCol w:w="100"/>
        <w:gridCol w:w="100"/>
        <w:gridCol w:w="100"/>
      </w:tblGrid>
      <w:tr>
        <w:tc>
          <w:tcPr>
            <w:tcW w:type="pct" w:w="33%"/>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Prepared By</w:t>
            </w:r>
          </w:p>
        </w:tc>
        <w:tc>
          <w:tcPr>
            <w:tcW w:type="pct" w:w="33%"/>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Role</w:t>
            </w:r>
          </w:p>
        </w:tc>
        <w:tc>
          <w:tcPr>
            <w:tcW w:type="pct" w:w="34%"/>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Date</w:t>
            </w:r>
          </w:p>
        </w:tc>
      </w:tr>
      <w:tr>
        <w:tc>
          <w:tcPr>
            <w:tcW w:type="pct" w:w="33%"/>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X4O Consulting — EDMECA Development Team</w:t>
            </w:r>
          </w:p>
        </w:tc>
        <w:tc>
          <w:tcPr>
            <w:tcW w:type="pct" w:w="33%"/>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Security Audit Team</w:t>
            </w:r>
          </w:p>
        </w:tc>
        <w:tc>
          <w:tcPr>
            <w:tcW w:type="pct" w:w="34%"/>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04 March 2026</w:t>
            </w:r>
          </w:p>
        </w:tc>
      </w:tr>
      <w:tr>
        <w:tc>
          <w:tcPr>
            <w:tcW w:type="pct" w:w="33%"/>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Reviewed For</w:t>
            </w:r>
          </w:p>
        </w:tc>
        <w:tc>
          <w:tcPr>
            <w:tcW w:type="pct" w:w="33%"/>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Organisation</w:t>
            </w:r>
          </w:p>
        </w:tc>
        <w:tc>
          <w:tcPr>
            <w:tcW w:type="pct" w:w="34%"/>
            <w:shd w:color="F1F3F7" w:val="solid"/>
            <w:tcMar>
              <w:top w:type="dxa" w:w="80"/>
              <w:left w:type="dxa" w:w="160"/>
              <w:bottom w:type="dxa" w:w="80"/>
              <w:right w:type="dxa" w:w="160"/>
            </w:tcMar>
          </w:tcPr>
          <w:p>
            <w:pPr>
              <w:spacing w:after="0"/>
            </w:pPr>
            <w:r>
              <w:rPr>
                <w:rFonts w:ascii="Calibri" w:cs="Calibri" w:eastAsia="Calibri" w:hAnsi="Calibri"/>
                <w:b/>
                <w:bCs/>
                <w:color w:val="1F3A6E"/>
                <w:sz w:val="19"/>
                <w:szCs w:val="19"/>
              </w:rPr>
              <w:t xml:space="preserve">Report Version</w:t>
            </w:r>
          </w:p>
        </w:tc>
      </w:tr>
      <w:tr>
        <w:tc>
          <w:tcPr>
            <w:tcW w:type="pct" w:w="33%"/>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Raymond Crown (Supervisor)</w:t>
            </w:r>
          </w:p>
        </w:tc>
        <w:tc>
          <w:tcPr>
            <w:tcW w:type="pct" w:w="33%"/>
            <w:shd w:color="F8F9FC" w:val="solid"/>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EDMECA Digital Academy</w:t>
            </w:r>
          </w:p>
        </w:tc>
        <w:tc>
          <w:tcPr>
            <w:tcW w:type="pct" w:w="34%"/>
            <w:tcMar>
              <w:top w:type="dxa" w:w="60"/>
              <w:left w:type="dxa" w:w="160"/>
              <w:bottom w:type="dxa" w:w="60"/>
              <w:right w:type="dxa" w:w="160"/>
            </w:tcMar>
            <w:vAlign w:val="center"/>
          </w:tcPr>
          <w:p>
            <w:pPr>
              <w:spacing w:after="0"/>
              <w:jc w:val="left"/>
            </w:pPr>
            <w:r>
              <w:rPr>
                <w:rFonts w:ascii="Calibri" w:cs="Calibri" w:eastAsia="Calibri" w:hAnsi="Calibri"/>
                <w:b w:val="false"/>
                <w:bCs w:val="false"/>
                <w:color w:val="1A202C"/>
                <w:sz w:val="19"/>
                <w:szCs w:val="19"/>
              </w:rPr>
              <w:t xml:space="preserve">v1.0  |  04 March 2026</w:t>
            </w:r>
          </w:p>
        </w:tc>
      </w:tr>
    </w:tbl>
    <w:p>
      <w:pPr>
        <w:spacing w:after="200"/>
      </w:pPr>
      <w:r>
        <w:t xml:space="preserve"> </w:t>
      </w:r>
    </w:p>
    <w:p>
      <w:pPr>
        <w:pBdr>
          <w:bottom w:val="single" w:color="D4A017" w:sz="6"/>
        </w:pBdr>
        <w:spacing w:after="160" w:before="40"/>
      </w:pPr>
    </w:p>
    <w:p>
      <w:pPr>
        <w:spacing w:after="0"/>
        <w:jc w:val="center"/>
      </w:pPr>
      <w:r>
        <w:rPr>
          <w:rFonts w:ascii="Calibri" w:cs="Calibri" w:eastAsia="Calibri" w:hAnsi="Calibri"/>
          <w:i/>
          <w:iCs/>
          <w:color w:val="4A5568"/>
          <w:sz w:val="17"/>
          <w:szCs w:val="17"/>
        </w:rPr>
        <w:t xml:space="preserve">EDMECA Digital Academy  |  Security Audit Report  |  04 March 2026  |  </w:t>
      </w:r>
      <w:r>
        <w:rPr>
          <w:rFonts w:ascii="Calibri" w:cs="Calibri" w:eastAsia="Calibri" w:hAnsi="Calibri"/>
          <w:b/>
          <w:bCs/>
          <w:color w:val="991B1B"/>
          <w:sz w:val="17"/>
          <w:szCs w:val="17"/>
        </w:rPr>
        <w:t xml:space="preserve">CONFIDENTIAL</w:t>
      </w:r>
      <w:r>
        <w:rPr>
          <w:rFonts w:ascii="Calibri" w:cs="Calibri" w:eastAsia="Calibri" w:hAnsi="Calibri"/>
          <w:i/>
          <w:iCs/>
          <w:color w:val="4A5568"/>
          <w:sz w:val="17"/>
          <w:szCs w:val="17"/>
        </w:rPr>
        <w:t xml:space="preserve">  |  Powered by X4O</w:t>
      </w:r>
    </w:p>
    <w:sectPr>
      <w:headerReference w:type="default" r:id="rId6"/>
      <w:footerReference w:type="default" r:id="rId7"/>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pct" w:w="100%"/>
      <w:tblBorders>
        <w:top w:val="single" w:color="DDE2EC" w:sz="4"/>
        <w:left w:val="none" w:color="auto" w:sz="0"/>
        <w:bottom w:val="none" w:color="auto" w:sz="0"/>
        <w:right w:val="none" w:color="auto" w:sz="0"/>
        <w:insideH w:val="single" w:color="auto" w:sz="4"/>
        <w:insideV w:val="single" w:color="auto" w:sz="4"/>
      </w:tblBorders>
    </w:tblPr>
    <w:tblGrid>
      <w:gridCol w:w="100"/>
      <w:gridCol w:w="100"/>
    </w:tblGrid>
    <w:tr>
      <w:tc>
        <w:tcPr>
          <w:tcW w:type="pct" w:w="60%"/>
          <w:tcMar>
            <w:top w:type="dxa" w:w="80"/>
          </w:tcMar>
        </w:tcPr>
        <w:p>
          <w:pPr>
            <w:spacing w:after="0"/>
          </w:pPr>
          <w:r>
            <w:rPr>
              <w:rFonts w:ascii="Calibri" w:cs="Calibri" w:eastAsia="Calibri" w:hAnsi="Calibri"/>
              <w:i/>
              <w:iCs/>
              <w:color w:val="4A5568"/>
              <w:sz w:val="16"/>
              <w:szCs w:val="16"/>
            </w:rPr>
            <w:t xml:space="preserve">EDMECA Digital Academy  |  04 March 2026  |  Powered by X4O</w:t>
          </w:r>
        </w:p>
      </w:tc>
      <w:tc>
        <w:tcPr>
          <w:tcW w:type="pct" w:w="40%"/>
          <w:tcMar>
            <w:top w:type="dxa" w:w="80"/>
          </w:tcMar>
        </w:tcPr>
        <w:p>
          <w:pPr>
            <w:spacing w:after="0"/>
            <w:jc w:val="right"/>
          </w:pPr>
          <w:r>
            <w:rPr>
              <w:rFonts w:ascii="Calibri" w:cs="Calibri" w:eastAsia="Calibri" w:hAnsi="Calibri"/>
              <w:color w:val="4A5568"/>
              <w:sz w:val="16"/>
              <w:szCs w:val="16"/>
            </w:rPr>
            <w:t xml:space="preserve">Page </w:t>
          </w:r>
          <w:r>
            <w:rPr>
              <w:rFonts w:ascii="Calibri" w:cs="Calibri" w:eastAsia="Calibri" w:hAnsi="Calibri"/>
              <w:color w:val="1F3A6E"/>
              <w:sz w:val="16"/>
              <w:szCs w:val="16"/>
            </w:rPr>
            <w:fldChar w:fldCharType="begin"/>
            <w:instrText xml:space="preserve">PAGE</w:instrText>
            <w:fldChar w:fldCharType="separate"/>
            <w:fldChar w:fldCharType="end"/>
          </w:r>
          <w:r>
            <w:rPr>
              <w:rFonts w:ascii="Calibri" w:cs="Calibri" w:eastAsia="Calibri" w:hAnsi="Calibri"/>
              <w:color w:val="4A5568"/>
              <w:sz w:val="16"/>
              <w:szCs w:val="16"/>
            </w:rPr>
            <w:t xml:space="preserve"> of </w:t>
          </w:r>
          <w:r>
            <w:rPr>
              <w:rFonts w:ascii="Calibri" w:cs="Calibri" w:eastAsia="Calibri" w:hAnsi="Calibri"/>
              <w:color w:val="1F3A6E"/>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auto" w:sz="0"/>
        <w:left w:val="none" w:color="auto" w:sz="0"/>
        <w:bottom w:val="single" w:color="DDE2EC" w:sz="4"/>
        <w:right w:val="none" w:color="auto" w:sz="0"/>
        <w:insideH w:val="single" w:color="auto" w:sz="4"/>
        <w:insideV w:val="single" w:color="auto" w:sz="4"/>
      </w:tblBorders>
    </w:tblPr>
    <w:tblGrid>
      <w:gridCol w:w="100"/>
      <w:gridCol w:w="100"/>
    </w:tblGrid>
    <w:tr>
      <w:tc>
        <w:tcPr>
          <w:tcW w:type="pct" w:w="50%"/>
          <w:tcMar>
            <w:bottom w:type="dxa" w:w="80"/>
          </w:tcMar>
        </w:tcPr>
        <w:p>
          <w:pPr>
            <w:spacing w:after="0"/>
          </w:pPr>
          <w:r>
            <w:drawing>
              <wp:inline distT="0" distB="0" distL="0" distR="0">
                <wp:extent cx="1009650" cy="57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09650" cy="571500"/>
                        </a:xfrm>
                        <a:prstGeom prst="rect">
                          <a:avLst/>
                        </a:prstGeom>
                      </pic:spPr>
                    </pic:pic>
                  </a:graphicData>
                </a:graphic>
              </wp:inline>
            </w:drawing>
          </w:r>
        </w:p>
      </w:tc>
      <w:tc>
        <w:tcPr>
          <w:tcW w:type="pct" w:w="50%"/>
          <w:tcMar>
            <w:bottom w:type="dxa" w:w="80"/>
          </w:tcMar>
          <w:vAlign w:val="bottom"/>
        </w:tcPr>
        <w:p>
          <w:pPr>
            <w:spacing w:after="0"/>
            <w:jc w:val="right"/>
          </w:pPr>
          <w:r>
            <w:rPr>
              <w:rFonts w:ascii="Calibri" w:cs="Calibri" w:eastAsia="Calibri" w:hAnsi="Calibri"/>
              <w:i/>
              <w:iCs/>
              <w:color w:val="4A5568"/>
              <w:sz w:val="17"/>
              <w:szCs w:val="17"/>
            </w:rPr>
            <w:t xml:space="preserve">Security Audit Report  |  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rPr>
      <w:rFonts w:ascii="Calibri" w:cs="Calibri" w:eastAsia="Calibri" w:hAnsi="Calibri"/>
      <w:color w:val="1A202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500343ef0a5ef07bc1137001a289157b1219d551.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00343ef0a5ef07bc1137001a289157b1219d55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EDMECA Digital Academy — Security Audit Report</dc:title>
  <dc:creator>X4O Consulting</dc:creator>
  <dc:description>Application Security Assessment</dc:description>
  <cp:lastModifiedBy>Un-named</cp:lastModifiedBy>
  <cp:revision>1</cp:revision>
  <dcterms:created xsi:type="dcterms:W3CDTF">2026-03-04T11:47:50.408Z</dcterms:created>
  <dcterms:modified xsi:type="dcterms:W3CDTF">2026-03-04T11:47:50.408Z</dcterms:modified>
</cp:coreProperties>
</file>

<file path=docProps/custom.xml><?xml version="1.0" encoding="utf-8"?>
<Properties xmlns="http://schemas.openxmlformats.org/officeDocument/2006/custom-properties" xmlns:vt="http://schemas.openxmlformats.org/officeDocument/2006/docPropsVTypes"/>
</file>