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f3a6e" w:val="solid"/>
        <w:spacing w:before="0" w:after="0"/>
        <w:jc w:val="center"/>
      </w:pPr>
      <w:r>
        <w:t xml:space="preserve"/>
      </w:r>
    </w:p>
    <w:p>
      <w:pPr>
        <w:spacing w:before="1600" w:after="80"/>
        <w:jc w:val="center"/>
      </w:pPr>
      <w:r>
        <w:rPr>
          <w:b/>
          <w:bCs/>
          <w:color w:val="A0B0C8"/>
          <w:sz w:val="28"/>
          <w:szCs w:val="28"/>
        </w:rPr>
        <w:t xml:space="preserve">EdMeCa Academy</w:t>
      </w:r>
    </w:p>
    <w:p>
      <w:pPr>
        <w:spacing w:after="400"/>
        <w:jc w:val="center"/>
      </w:pPr>
      <w:r>
        <w:rPr>
          <w:color w:val="7A90AA"/>
          <w:sz w:val="20"/>
          <w:szCs w:val="20"/>
        </w:rPr>
        <w:t xml:space="preserve">DIGITAL ACADEMY PLATFORM</w:t>
      </w:r>
    </w:p>
    <w:p>
      <w:pPr>
        <w:spacing w:after="160"/>
        <w:jc w:val="center"/>
      </w:pPr>
      <w:r>
        <w:rPr>
          <w:b/>
          <w:bCs/>
          <w:color w:val="FFFFFF"/>
          <w:sz w:val="52"/>
          <w:szCs w:val="52"/>
        </w:rPr>
        <w:t xml:space="preserve">Security Documentation</w:t>
      </w:r>
    </w:p>
    <w:p>
      <w:pPr>
        <w:spacing w:after="80"/>
        <w:jc w:val="center"/>
      </w:pPr>
      <w:r>
        <w:rPr>
          <w:color w:val="D0D8E8"/>
          <w:sz w:val="26"/>
          <w:szCs w:val="26"/>
        </w:rPr>
        <w:t xml:space="preserve">Security Policies, Procedures &amp; Compliance</w:t>
      </w:r>
    </w:p>
    <w:p>
      <w:pPr>
        <w:spacing w:after="160"/>
        <w:jc w:val="center"/>
      </w:pPr>
      <w:r>
        <w:rPr>
          <w:color w:val="6C7A91"/>
          <w:sz w:val="24"/>
          <w:szCs w:val="24"/>
        </w:rPr>
        <w:t xml:space="preserve">─────────────────────────────────</w:t>
      </w:r>
    </w:p>
    <w:p>
      <w:pPr>
        <w:spacing w:after="80"/>
        <w:jc w:val="center"/>
      </w:pPr>
      <w:r>
        <w:rPr>
          <w:color w:val="A0B0C8"/>
          <w:sz w:val="20"/>
          <w:szCs w:val="20"/>
        </w:rPr>
        <w:t xml:space="preserve">Document Reference: EDMECA-DOC-6.5</w:t>
      </w:r>
    </w:p>
    <w:p>
      <w:pPr>
        <w:spacing w:after="80"/>
        <w:jc w:val="center"/>
      </w:pPr>
      <w:r>
        <w:rPr>
          <w:color w:val="A0B0C8"/>
          <w:sz w:val="20"/>
          <w:szCs w:val="20"/>
        </w:rPr>
        <w:t xml:space="preserve">Date: 20 March 2026</w:t>
      </w:r>
    </w:p>
    <w:p>
      <w:pPr>
        <w:spacing w:after="80"/>
        <w:jc w:val="center"/>
      </w:pPr>
      <w:r>
        <w:rPr>
          <w:color w:val="A0B0C8"/>
          <w:sz w:val="20"/>
          <w:szCs w:val="20"/>
        </w:rPr>
        <w:t xml:space="preserve">Prepared by: X4O Consulting / Keenan Husselmann</w:t>
      </w:r>
    </w:p>
    <w:p>
      <w:pPr>
        <w:spacing w:after="80"/>
        <w:jc w:val="center"/>
      </w:pPr>
      <w:r>
        <w:rPr>
          <w:color w:val="A0B0C8"/>
          <w:sz w:val="20"/>
          <w:szCs w:val="20"/>
        </w:rPr>
        <w:t xml:space="preserve">Supervisor: Raymond Crown</w:t>
      </w:r>
    </w:p>
    <w:p>
      <w:pPr>
        <w:spacing w:before="400" w:after="0"/>
        <w:jc w:val="center"/>
      </w:pPr>
      <w:r>
        <w:rPr>
          <w:color w:val="6070A0"/>
          <w:sz w:val="18"/>
          <w:szCs w:val="18"/>
        </w:rPr>
        <w:t xml:space="preserve">© 2026 EdMeCa Academy. Confidential.</w:t>
      </w:r>
    </w:p>
    <w:p>
      <w:r>
        <w:br w:type="page"/>
      </w:r>
    </w:p>
    <w:p>
      <w:pPr>
        <w:pStyle w:val="Heading1"/>
        <w:spacing w:before="600" w:after="240"/>
      </w:pPr>
      <w:r>
        <w:rPr>
          <w:b/>
          <w:bCs/>
          <w:color w:val="1f3a6e"/>
          <w:sz w:val="36"/>
          <w:szCs w:val="36"/>
        </w:rPr>
        <w:t xml:space="preserve">1. Overview</w:t>
      </w:r>
    </w:p>
    <w:p>
      <w:pPr>
        <w:pBdr>
          <w:bottom w:val="single" w:color="1f3a6e" w:sz="6"/>
        </w:pBdr>
        <w:spacing w:after="240"/>
      </w:pPr>
    </w:p>
    <w:p>
      <w:pPr>
        <w:spacing w:after="140"/>
      </w:pPr>
      <w:r>
        <w:rPr>
          <w:color w:val="495057"/>
          <w:sz w:val="22"/>
          <w:szCs w:val="22"/>
        </w:rPr>
        <w:t xml:space="preserve">This document defines the security policies, procedures, and compliance posture for the EdMeCa Academy Digital Platform. It is intended for the development team, administrators, and supervisors responsible for maintaining the platform's security.</w:t>
      </w:r>
    </w:p>
    <w:p>
      <w:pPr>
        <w:shd w:color="EEF2FF" w:val="solid"/>
        <w:spacing w:before="160" w:after="200"/>
        <w:ind w:left="240" w:right="240"/>
      </w:pPr>
      <w:r>
        <w:rPr>
          <w:b/>
          <w:bCs/>
          <w:color w:val="1f3a6e"/>
          <w:sz w:val="22"/>
          <w:szCs w:val="22"/>
        </w:rPr>
        <w:t xml:space="preserve">A formal security audit was conducted on 04 March 2026. The full audit report is available at: deliverables/Phase-4-Testing/EDMECA_Security_Audit_Report_2026-03-04.docx</w:t>
      </w:r>
    </w:p>
    <w:p>
      <w:pPr>
        <w:pStyle w:val="Heading1"/>
        <w:spacing w:before="600" w:after="240"/>
      </w:pPr>
      <w:r>
        <w:rPr>
          <w:b/>
          <w:bCs/>
          <w:color w:val="1f3a6e"/>
          <w:sz w:val="36"/>
          <w:szCs w:val="36"/>
        </w:rPr>
        <w:t xml:space="preserve">2. Security Posture Summary</w:t>
      </w:r>
    </w:p>
    <w:p>
      <w:pPr>
        <w:pBdr>
          <w:bottom w:val="single" w:color="1f3a6e" w:sz="6"/>
        </w:pBdr>
        <w:spacing w:after="240"/>
      </w:pPr>
    </w:p>
    <w:p>
      <w:pPr>
        <w:spacing w:after="140"/>
      </w:pPr>
      <w:r>
        <w:rPr>
          <w:color w:val="495057"/>
          <w:sz w:val="22"/>
          <w:szCs w:val="22"/>
        </w:rPr>
        <w:t xml:space="preserve">The following OWASP Top 10 (2021) security tests were conducted and passed during Phase 4 Security Testing:</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tblGrid>
      <w:tr>
        <w:trPr>
          <w:tblHeader/>
        </w:trPr>
        <w:tc>
          <w:tcPr>
            <w:tcW w:type="pct" w:w="25%"/>
            <w:shd w:color="1f3a6e" w:val="solid"/>
          </w:tcPr>
          <w:p>
            <w:pPr>
              <w:spacing w:after="0"/>
            </w:pPr>
            <w:r>
              <w:rPr>
                <w:b/>
                <w:bCs/>
                <w:color w:val="FFFFFF"/>
                <w:sz w:val="20"/>
                <w:szCs w:val="20"/>
              </w:rPr>
              <w:t xml:space="preserve">Test ID</w:t>
            </w:r>
          </w:p>
        </w:tc>
        <w:tc>
          <w:tcPr>
            <w:tcW w:type="pct" w:w="25%"/>
            <w:shd w:color="1f3a6e" w:val="solid"/>
          </w:tcPr>
          <w:p>
            <w:pPr>
              <w:spacing w:after="0"/>
            </w:pPr>
            <w:r>
              <w:rPr>
                <w:b/>
                <w:bCs/>
                <w:color w:val="FFFFFF"/>
                <w:sz w:val="20"/>
                <w:szCs w:val="20"/>
              </w:rPr>
              <w:t xml:space="preserve">OWASP Category</w:t>
            </w:r>
          </w:p>
        </w:tc>
        <w:tc>
          <w:tcPr>
            <w:tcW w:type="pct" w:w="25%"/>
            <w:shd w:color="1f3a6e" w:val="solid"/>
          </w:tcPr>
          <w:p>
            <w:pPr>
              <w:spacing w:after="0"/>
            </w:pPr>
            <w:r>
              <w:rPr>
                <w:b/>
                <w:bCs/>
                <w:color w:val="FFFFFF"/>
                <w:sz w:val="20"/>
                <w:szCs w:val="20"/>
              </w:rPr>
              <w:t xml:space="preserve">Test Description</w:t>
            </w:r>
          </w:p>
        </w:tc>
        <w:tc>
          <w:tcPr>
            <w:tcW w:type="pct" w:w="25%"/>
            <w:shd w:color="1f3a6e" w:val="solid"/>
          </w:tcPr>
          <w:p>
            <w:pPr>
              <w:spacing w:after="0"/>
            </w:pPr>
            <w:r>
              <w:rPr>
                <w:b/>
                <w:bCs/>
                <w:color w:val="FFFFFF"/>
                <w:sz w:val="20"/>
                <w:szCs w:val="20"/>
              </w:rPr>
              <w:t xml:space="preserve">Result</w:t>
            </w:r>
          </w:p>
        </w:tc>
      </w:tr>
      <w:tr>
        <w:tc>
          <w:tcPr>
            <w:tcW w:type="pct" w:w="25%"/>
            <w:shd w:color="F8F9FA" w:val="solid"/>
          </w:tcPr>
          <w:p>
            <w:pPr>
              <w:spacing w:after="0"/>
            </w:pPr>
            <w:r>
              <w:rPr>
                <w:b w:val="false"/>
                <w:bCs w:val="false"/>
                <w:color w:val="495057"/>
                <w:sz w:val="20"/>
                <w:szCs w:val="20"/>
              </w:rPr>
              <w:t xml:space="preserve">SEC-001</w:t>
            </w:r>
          </w:p>
        </w:tc>
        <w:tc>
          <w:tcPr>
            <w:tcW w:type="pct" w:w="25%"/>
            <w:shd w:color="F8F9FA" w:val="solid"/>
          </w:tcPr>
          <w:p>
            <w:pPr>
              <w:spacing w:after="0"/>
            </w:pPr>
            <w:r>
              <w:rPr>
                <w:b w:val="false"/>
                <w:bCs w:val="false"/>
                <w:color w:val="495057"/>
                <w:sz w:val="20"/>
                <w:szCs w:val="20"/>
              </w:rPr>
              <w:t xml:space="preserve">A03 – Injection</w:t>
            </w:r>
          </w:p>
        </w:tc>
        <w:tc>
          <w:tcPr>
            <w:tcW w:type="pct" w:w="25%"/>
            <w:shd w:color="F8F9FA" w:val="solid"/>
          </w:tcPr>
          <w:p>
            <w:pPr>
              <w:spacing w:after="0"/>
            </w:pPr>
            <w:r>
              <w:rPr>
                <w:b w:val="false"/>
                <w:bCs w:val="false"/>
                <w:color w:val="495057"/>
                <w:sz w:val="20"/>
                <w:szCs w:val="20"/>
              </w:rPr>
              <w:t xml:space="preserve">XSS — dangerouslySetInnerHTML / eval() scan</w:t>
            </w:r>
          </w:p>
        </w:tc>
        <w:tc>
          <w:tcPr>
            <w:tcW w:type="pct" w:w="25%"/>
            <w:shd w:color="F8F9FA" w:val="solid"/>
          </w:tcPr>
          <w:p>
            <w:pPr>
              <w:spacing w:after="0"/>
            </w:pPr>
            <w:r>
              <w:rPr>
                <w:b w:val="false"/>
                <w:bCs w:val="false"/>
                <w:color w:val="495057"/>
                <w:sz w:val="20"/>
                <w:szCs w:val="20"/>
              </w:rPr>
              <w:t xml:space="preserve">PASS</w:t>
            </w:r>
          </w:p>
        </w:tc>
      </w:tr>
      <w:tr>
        <w:tc>
          <w:tcPr>
            <w:tcW w:type="pct" w:w="25%"/>
            <w:shd w:color="FFFFFF" w:val="solid"/>
          </w:tcPr>
          <w:p>
            <w:pPr>
              <w:spacing w:after="0"/>
            </w:pPr>
            <w:r>
              <w:rPr>
                <w:b w:val="false"/>
                <w:bCs w:val="false"/>
                <w:color w:val="495057"/>
                <w:sz w:val="20"/>
                <w:szCs w:val="20"/>
              </w:rPr>
              <w:t xml:space="preserve">SEC-002</w:t>
            </w:r>
          </w:p>
        </w:tc>
        <w:tc>
          <w:tcPr>
            <w:tcW w:type="pct" w:w="25%"/>
            <w:shd w:color="FFFFFF" w:val="solid"/>
          </w:tcPr>
          <w:p>
            <w:pPr>
              <w:spacing w:after="0"/>
            </w:pPr>
            <w:r>
              <w:rPr>
                <w:b w:val="false"/>
                <w:bCs w:val="false"/>
                <w:color w:val="495057"/>
                <w:sz w:val="20"/>
                <w:szCs w:val="20"/>
              </w:rPr>
              <w:t xml:space="preserve">A02 – Cryptographic</w:t>
            </w:r>
          </w:p>
        </w:tc>
        <w:tc>
          <w:tcPr>
            <w:tcW w:type="pct" w:w="25%"/>
            <w:shd w:color="FFFFFF" w:val="solid"/>
          </w:tcPr>
          <w:p>
            <w:pPr>
              <w:spacing w:after="0"/>
            </w:pPr>
            <w:r>
              <w:rPr>
                <w:b w:val="false"/>
                <w:bCs w:val="false"/>
                <w:color w:val="495057"/>
                <w:sz w:val="20"/>
                <w:szCs w:val="20"/>
              </w:rPr>
              <w:t xml:space="preserve">Hardcoded credentials in source code</w:t>
            </w:r>
          </w:p>
        </w:tc>
        <w:tc>
          <w:tcPr>
            <w:tcW w:type="pct" w:w="25%"/>
            <w:shd w:color="FFFFFF" w:val="solid"/>
          </w:tcPr>
          <w:p>
            <w:pPr>
              <w:spacing w:after="0"/>
            </w:pPr>
            <w:r>
              <w:rPr>
                <w:b w:val="false"/>
                <w:bCs w:val="false"/>
                <w:color w:val="495057"/>
                <w:sz w:val="20"/>
                <w:szCs w:val="20"/>
              </w:rPr>
              <w:t xml:space="preserve">PASS</w:t>
            </w:r>
          </w:p>
        </w:tc>
      </w:tr>
      <w:tr>
        <w:tc>
          <w:tcPr>
            <w:tcW w:type="pct" w:w="25%"/>
            <w:shd w:color="F8F9FA" w:val="solid"/>
          </w:tcPr>
          <w:p>
            <w:pPr>
              <w:spacing w:after="0"/>
            </w:pPr>
            <w:r>
              <w:rPr>
                <w:b w:val="false"/>
                <w:bCs w:val="false"/>
                <w:color w:val="495057"/>
                <w:sz w:val="20"/>
                <w:szCs w:val="20"/>
              </w:rPr>
              <w:t xml:space="preserve">SEC-003</w:t>
            </w:r>
          </w:p>
        </w:tc>
        <w:tc>
          <w:tcPr>
            <w:tcW w:type="pct" w:w="25%"/>
            <w:shd w:color="F8F9FA" w:val="solid"/>
          </w:tcPr>
          <w:p>
            <w:pPr>
              <w:spacing w:after="0"/>
            </w:pPr>
            <w:r>
              <w:rPr>
                <w:b w:val="false"/>
                <w:bCs w:val="false"/>
                <w:color w:val="495057"/>
                <w:sz w:val="20"/>
                <w:szCs w:val="20"/>
              </w:rPr>
              <w:t xml:space="preserve">A02 – Cryptographic</w:t>
            </w:r>
          </w:p>
        </w:tc>
        <w:tc>
          <w:tcPr>
            <w:tcW w:type="pct" w:w="25%"/>
            <w:shd w:color="F8F9FA" w:val="solid"/>
          </w:tcPr>
          <w:p>
            <w:pPr>
              <w:spacing w:after="0"/>
            </w:pPr>
            <w:r>
              <w:rPr>
                <w:b w:val="false"/>
                <w:bCs w:val="false"/>
                <w:color w:val="495057"/>
                <w:sz w:val="20"/>
                <w:szCs w:val="20"/>
              </w:rPr>
              <w:t xml:space="preserve">Insecure HTTP connections (non-HTTPS)</w:t>
            </w:r>
          </w:p>
        </w:tc>
        <w:tc>
          <w:tcPr>
            <w:tcW w:type="pct" w:w="25%"/>
            <w:shd w:color="F8F9FA" w:val="solid"/>
          </w:tcPr>
          <w:p>
            <w:pPr>
              <w:spacing w:after="0"/>
            </w:pPr>
            <w:r>
              <w:rPr>
                <w:b w:val="false"/>
                <w:bCs w:val="false"/>
                <w:color w:val="495057"/>
                <w:sz w:val="20"/>
                <w:szCs w:val="20"/>
              </w:rPr>
              <w:t xml:space="preserve">PASS</w:t>
            </w:r>
          </w:p>
        </w:tc>
      </w:tr>
      <w:tr>
        <w:tc>
          <w:tcPr>
            <w:tcW w:type="pct" w:w="25%"/>
            <w:shd w:color="FFFFFF" w:val="solid"/>
          </w:tcPr>
          <w:p>
            <w:pPr>
              <w:spacing w:after="0"/>
            </w:pPr>
            <w:r>
              <w:rPr>
                <w:b w:val="false"/>
                <w:bCs w:val="false"/>
                <w:color w:val="495057"/>
                <w:sz w:val="20"/>
                <w:szCs w:val="20"/>
              </w:rPr>
              <w:t xml:space="preserve">SEC-004</w:t>
            </w:r>
          </w:p>
        </w:tc>
        <w:tc>
          <w:tcPr>
            <w:tcW w:type="pct" w:w="25%"/>
            <w:shd w:color="FFFFFF" w:val="solid"/>
          </w:tcPr>
          <w:p>
            <w:pPr>
              <w:spacing w:after="0"/>
            </w:pPr>
            <w:r>
              <w:rPr>
                <w:b w:val="false"/>
                <w:bCs w:val="false"/>
                <w:color w:val="495057"/>
                <w:sz w:val="20"/>
                <w:szCs w:val="20"/>
              </w:rPr>
              <w:t xml:space="preserve">A09 – Logging</w:t>
            </w:r>
          </w:p>
        </w:tc>
        <w:tc>
          <w:tcPr>
            <w:tcW w:type="pct" w:w="25%"/>
            <w:shd w:color="FFFFFF" w:val="solid"/>
          </w:tcPr>
          <w:p>
            <w:pPr>
              <w:spacing w:after="0"/>
            </w:pPr>
            <w:r>
              <w:rPr>
                <w:b w:val="false"/>
                <w:bCs w:val="false"/>
                <w:color w:val="495057"/>
                <w:sz w:val="20"/>
                <w:szCs w:val="20"/>
              </w:rPr>
              <w:t xml:space="preserve">Sensitive data in console.log output</w:t>
            </w:r>
          </w:p>
        </w:tc>
        <w:tc>
          <w:tcPr>
            <w:tcW w:type="pct" w:w="25%"/>
            <w:shd w:color="FFFFFF" w:val="solid"/>
          </w:tcPr>
          <w:p>
            <w:pPr>
              <w:spacing w:after="0"/>
            </w:pPr>
            <w:r>
              <w:rPr>
                <w:b w:val="false"/>
                <w:bCs w:val="false"/>
                <w:color w:val="495057"/>
                <w:sz w:val="20"/>
                <w:szCs w:val="20"/>
              </w:rPr>
              <w:t xml:space="preserve">PASS</w:t>
            </w:r>
          </w:p>
        </w:tc>
      </w:tr>
      <w:tr>
        <w:tc>
          <w:tcPr>
            <w:tcW w:type="pct" w:w="25%"/>
            <w:shd w:color="F8F9FA" w:val="solid"/>
          </w:tcPr>
          <w:p>
            <w:pPr>
              <w:spacing w:after="0"/>
            </w:pPr>
            <w:r>
              <w:rPr>
                <w:b w:val="false"/>
                <w:bCs w:val="false"/>
                <w:color w:val="495057"/>
                <w:sz w:val="20"/>
                <w:szCs w:val="20"/>
              </w:rPr>
              <w:t xml:space="preserve">SEC-005</w:t>
            </w:r>
          </w:p>
        </w:tc>
        <w:tc>
          <w:tcPr>
            <w:tcW w:type="pct" w:w="25%"/>
            <w:shd w:color="F8F9FA" w:val="solid"/>
          </w:tcPr>
          <w:p>
            <w:pPr>
              <w:spacing w:after="0"/>
            </w:pPr>
            <w:r>
              <w:rPr>
                <w:b w:val="false"/>
                <w:bCs w:val="false"/>
                <w:color w:val="495057"/>
                <w:sz w:val="20"/>
                <w:szCs w:val="20"/>
              </w:rPr>
              <w:t xml:space="preserve">A02 – Cryptographic</w:t>
            </w:r>
          </w:p>
        </w:tc>
        <w:tc>
          <w:tcPr>
            <w:tcW w:type="pct" w:w="25%"/>
            <w:shd w:color="F8F9FA" w:val="solid"/>
          </w:tcPr>
          <w:p>
            <w:pPr>
              <w:spacing w:after="0"/>
            </w:pPr>
            <w:r>
              <w:rPr>
                <w:b w:val="false"/>
                <w:bCs w:val="false"/>
                <w:color w:val="495057"/>
                <w:sz w:val="20"/>
                <w:szCs w:val="20"/>
              </w:rPr>
              <w:t xml:space="preserve">Auth tokens in localStorage/sessionStorage</w:t>
            </w:r>
          </w:p>
        </w:tc>
        <w:tc>
          <w:tcPr>
            <w:tcW w:type="pct" w:w="25%"/>
            <w:shd w:color="F8F9FA" w:val="solid"/>
          </w:tcPr>
          <w:p>
            <w:pPr>
              <w:spacing w:after="0"/>
            </w:pPr>
            <w:r>
              <w:rPr>
                <w:b w:val="false"/>
                <w:bCs w:val="false"/>
                <w:color w:val="495057"/>
                <w:sz w:val="20"/>
                <w:szCs w:val="20"/>
              </w:rPr>
              <w:t xml:space="preserve">PASS</w:t>
            </w:r>
          </w:p>
        </w:tc>
      </w:tr>
      <w:tr>
        <w:tc>
          <w:tcPr>
            <w:tcW w:type="pct" w:w="25%"/>
            <w:shd w:color="FFFFFF" w:val="solid"/>
          </w:tcPr>
          <w:p>
            <w:pPr>
              <w:spacing w:after="0"/>
            </w:pPr>
            <w:r>
              <w:rPr>
                <w:b w:val="false"/>
                <w:bCs w:val="false"/>
                <w:color w:val="495057"/>
                <w:sz w:val="20"/>
                <w:szCs w:val="20"/>
              </w:rPr>
              <w:t xml:space="preserve">SEC-006</w:t>
            </w:r>
          </w:p>
        </w:tc>
        <w:tc>
          <w:tcPr>
            <w:tcW w:type="pct" w:w="25%"/>
            <w:shd w:color="FFFFFF" w:val="solid"/>
          </w:tcPr>
          <w:p>
            <w:pPr>
              <w:spacing w:after="0"/>
            </w:pPr>
            <w:r>
              <w:rPr>
                <w:b w:val="false"/>
                <w:bCs w:val="false"/>
                <w:color w:val="495057"/>
                <w:sz w:val="20"/>
                <w:szCs w:val="20"/>
              </w:rPr>
              <w:t xml:space="preserve">A01 – Access Control</w:t>
            </w:r>
          </w:p>
        </w:tc>
        <w:tc>
          <w:tcPr>
            <w:tcW w:type="pct" w:w="25%"/>
            <w:shd w:color="FFFFFF" w:val="solid"/>
          </w:tcPr>
          <w:p>
            <w:pPr>
              <w:spacing w:after="0"/>
            </w:pPr>
            <w:r>
              <w:rPr>
                <w:b w:val="false"/>
                <w:bCs w:val="false"/>
                <w:color w:val="495057"/>
                <w:sz w:val="20"/>
                <w:szCs w:val="20"/>
              </w:rPr>
              <w:t xml:space="preserve">CORS policy on API endpoints</w:t>
            </w:r>
          </w:p>
        </w:tc>
        <w:tc>
          <w:tcPr>
            <w:tcW w:type="pct" w:w="25%"/>
            <w:shd w:color="FFFFFF" w:val="solid"/>
          </w:tcPr>
          <w:p>
            <w:pPr>
              <w:spacing w:after="0"/>
            </w:pPr>
            <w:r>
              <w:rPr>
                <w:b w:val="false"/>
                <w:bCs w:val="false"/>
                <w:color w:val="495057"/>
                <w:sz w:val="20"/>
                <w:szCs w:val="20"/>
              </w:rPr>
              <w:t xml:space="preserve">REVIEW</w:t>
            </w:r>
          </w:p>
        </w:tc>
      </w:tr>
      <w:tr>
        <w:tc>
          <w:tcPr>
            <w:tcW w:type="pct" w:w="25%"/>
            <w:shd w:color="F8F9FA" w:val="solid"/>
          </w:tcPr>
          <w:p>
            <w:pPr>
              <w:spacing w:after="0"/>
            </w:pPr>
            <w:r>
              <w:rPr>
                <w:b w:val="false"/>
                <w:bCs w:val="false"/>
                <w:color w:val="495057"/>
                <w:sz w:val="20"/>
                <w:szCs w:val="20"/>
              </w:rPr>
              <w:t xml:space="preserve">SEC-007</w:t>
            </w:r>
          </w:p>
        </w:tc>
        <w:tc>
          <w:tcPr>
            <w:tcW w:type="pct" w:w="25%"/>
            <w:shd w:color="F8F9FA" w:val="solid"/>
          </w:tcPr>
          <w:p>
            <w:pPr>
              <w:spacing w:after="0"/>
            </w:pPr>
            <w:r>
              <w:rPr>
                <w:b w:val="false"/>
                <w:bCs w:val="false"/>
                <w:color w:val="495057"/>
                <w:sz w:val="20"/>
                <w:szCs w:val="20"/>
              </w:rPr>
              <w:t xml:space="preserve">A03 – Injection</w:t>
            </w:r>
          </w:p>
        </w:tc>
        <w:tc>
          <w:tcPr>
            <w:tcW w:type="pct" w:w="25%"/>
            <w:shd w:color="F8F9FA" w:val="solid"/>
          </w:tcPr>
          <w:p>
            <w:pPr>
              <w:spacing w:after="0"/>
            </w:pPr>
            <w:r>
              <w:rPr>
                <w:b w:val="false"/>
                <w:bCs w:val="false"/>
                <w:color w:val="495057"/>
                <w:sz w:val="20"/>
                <w:szCs w:val="20"/>
              </w:rPr>
              <w:t xml:space="preserve">SQL injection via Supabase query builder</w:t>
            </w:r>
          </w:p>
        </w:tc>
        <w:tc>
          <w:tcPr>
            <w:tcW w:type="pct" w:w="25%"/>
            <w:shd w:color="F8F9FA" w:val="solid"/>
          </w:tcPr>
          <w:p>
            <w:pPr>
              <w:spacing w:after="0"/>
            </w:pPr>
            <w:r>
              <w:rPr>
                <w:b w:val="false"/>
                <w:bCs w:val="false"/>
                <w:color w:val="495057"/>
                <w:sz w:val="20"/>
                <w:szCs w:val="20"/>
              </w:rPr>
              <w:t xml:space="preserve">PASS</w:t>
            </w:r>
          </w:p>
        </w:tc>
      </w:tr>
      <w:tr>
        <w:tc>
          <w:tcPr>
            <w:tcW w:type="pct" w:w="25%"/>
            <w:shd w:color="FFFFFF" w:val="solid"/>
          </w:tcPr>
          <w:p>
            <w:pPr>
              <w:spacing w:after="0"/>
            </w:pPr>
            <w:r>
              <w:rPr>
                <w:b w:val="false"/>
                <w:bCs w:val="false"/>
                <w:color w:val="495057"/>
                <w:sz w:val="20"/>
                <w:szCs w:val="20"/>
              </w:rPr>
              <w:t xml:space="preserve">SEC-008</w:t>
            </w:r>
          </w:p>
        </w:tc>
        <w:tc>
          <w:tcPr>
            <w:tcW w:type="pct" w:w="25%"/>
            <w:shd w:color="FFFFFF" w:val="solid"/>
          </w:tcPr>
          <w:p>
            <w:pPr>
              <w:spacing w:after="0"/>
            </w:pPr>
            <w:r>
              <w:rPr>
                <w:b w:val="false"/>
                <w:bCs w:val="false"/>
                <w:color w:val="495057"/>
                <w:sz w:val="20"/>
                <w:szCs w:val="20"/>
              </w:rPr>
              <w:t xml:space="preserve">A07 – Auth Failures</w:t>
            </w:r>
          </w:p>
        </w:tc>
        <w:tc>
          <w:tcPr>
            <w:tcW w:type="pct" w:w="25%"/>
            <w:shd w:color="FFFFFF" w:val="solid"/>
          </w:tcPr>
          <w:p>
            <w:pPr>
              <w:spacing w:after="0"/>
            </w:pPr>
            <w:r>
              <w:rPr>
                <w:b w:val="false"/>
                <w:bCs w:val="false"/>
                <w:color w:val="495057"/>
                <w:sz w:val="20"/>
                <w:szCs w:val="20"/>
              </w:rPr>
              <w:t xml:space="preserve">Portal route authentication guards</w:t>
            </w:r>
          </w:p>
        </w:tc>
        <w:tc>
          <w:tcPr>
            <w:tcW w:type="pct" w:w="25%"/>
            <w:shd w:color="FFFFFF" w:val="solid"/>
          </w:tcPr>
          <w:p>
            <w:pPr>
              <w:spacing w:after="0"/>
            </w:pPr>
            <w:r>
              <w:rPr>
                <w:b w:val="false"/>
                <w:bCs w:val="false"/>
                <w:color w:val="495057"/>
                <w:sz w:val="20"/>
                <w:szCs w:val="20"/>
              </w:rPr>
              <w:t xml:space="preserve">PASS</w:t>
            </w:r>
          </w:p>
        </w:tc>
      </w:tr>
      <w:tr>
        <w:tc>
          <w:tcPr>
            <w:tcW w:type="pct" w:w="25%"/>
            <w:shd w:color="F8F9FA" w:val="solid"/>
          </w:tcPr>
          <w:p>
            <w:pPr>
              <w:spacing w:after="0"/>
            </w:pPr>
            <w:r>
              <w:rPr>
                <w:b w:val="false"/>
                <w:bCs w:val="false"/>
                <w:color w:val="495057"/>
                <w:sz w:val="20"/>
                <w:szCs w:val="20"/>
              </w:rPr>
              <w:t xml:space="preserve">SEC-009</w:t>
            </w:r>
          </w:p>
        </w:tc>
        <w:tc>
          <w:tcPr>
            <w:tcW w:type="pct" w:w="25%"/>
            <w:shd w:color="F8F9FA" w:val="solid"/>
          </w:tcPr>
          <w:p>
            <w:pPr>
              <w:spacing w:after="0"/>
            </w:pPr>
            <w:r>
              <w:rPr>
                <w:b w:val="false"/>
                <w:bCs w:val="false"/>
                <w:color w:val="495057"/>
                <w:sz w:val="20"/>
                <w:szCs w:val="20"/>
              </w:rPr>
              <w:t xml:space="preserve">A06 – Outdated Deps</w:t>
            </w:r>
          </w:p>
        </w:tc>
        <w:tc>
          <w:tcPr>
            <w:tcW w:type="pct" w:w="25%"/>
            <w:shd w:color="F8F9FA" w:val="solid"/>
          </w:tcPr>
          <w:p>
            <w:pPr>
              <w:spacing w:after="0"/>
            </w:pPr>
            <w:r>
              <w:rPr>
                <w:b w:val="false"/>
                <w:bCs w:val="false"/>
                <w:color w:val="495057"/>
                <w:sz w:val="20"/>
                <w:szCs w:val="20"/>
              </w:rPr>
              <w:t xml:space="preserve">npm audit — dependency vulnerabilities</w:t>
            </w:r>
          </w:p>
        </w:tc>
        <w:tc>
          <w:tcPr>
            <w:tcW w:type="pct" w:w="25%"/>
            <w:shd w:color="F8F9FA" w:val="solid"/>
          </w:tcPr>
          <w:p>
            <w:pPr>
              <w:spacing w:after="0"/>
            </w:pPr>
            <w:r>
              <w:rPr>
                <w:b w:val="false"/>
                <w:bCs w:val="false"/>
                <w:color w:val="495057"/>
                <w:sz w:val="20"/>
                <w:szCs w:val="20"/>
              </w:rPr>
              <w:t xml:space="preserve">REVIEW</w:t>
            </w:r>
          </w:p>
        </w:tc>
      </w:tr>
      <w:tr>
        <w:tc>
          <w:tcPr>
            <w:tcW w:type="pct" w:w="25%"/>
            <w:shd w:color="FFFFFF" w:val="solid"/>
          </w:tcPr>
          <w:p>
            <w:pPr>
              <w:spacing w:after="0"/>
            </w:pPr>
            <w:r>
              <w:rPr>
                <w:b w:val="false"/>
                <w:bCs w:val="false"/>
                <w:color w:val="495057"/>
                <w:sz w:val="20"/>
                <w:szCs w:val="20"/>
              </w:rPr>
              <w:t xml:space="preserve">SEC-010</w:t>
            </w:r>
          </w:p>
        </w:tc>
        <w:tc>
          <w:tcPr>
            <w:tcW w:type="pct" w:w="25%"/>
            <w:shd w:color="FFFFFF" w:val="solid"/>
          </w:tcPr>
          <w:p>
            <w:pPr>
              <w:spacing w:after="0"/>
            </w:pPr>
            <w:r>
              <w:rPr>
                <w:b w:val="false"/>
                <w:bCs w:val="false"/>
                <w:color w:val="495057"/>
                <w:sz w:val="20"/>
                <w:szCs w:val="20"/>
              </w:rPr>
              <w:t xml:space="preserve">A05 – Misconfiguration</w:t>
            </w:r>
          </w:p>
        </w:tc>
        <w:tc>
          <w:tcPr>
            <w:tcW w:type="pct" w:w="25%"/>
            <w:shd w:color="FFFFFF" w:val="solid"/>
          </w:tcPr>
          <w:p>
            <w:pPr>
              <w:spacing w:after="0"/>
            </w:pPr>
            <w:r>
              <w:rPr>
                <w:b w:val="false"/>
                <w:bCs w:val="false"/>
                <w:color w:val="495057"/>
                <w:sz w:val="20"/>
                <w:szCs w:val="20"/>
              </w:rPr>
              <w:t xml:space="preserve">HTTP security headers (CSP, HSTS, etc.)</w:t>
            </w:r>
          </w:p>
        </w:tc>
        <w:tc>
          <w:tcPr>
            <w:tcW w:type="pct" w:w="25%"/>
            <w:shd w:color="FFFFFF" w:val="solid"/>
          </w:tcPr>
          <w:p>
            <w:pPr>
              <w:spacing w:after="0"/>
            </w:pPr>
            <w:r>
              <w:rPr>
                <w:b w:val="false"/>
                <w:bCs w:val="false"/>
                <w:color w:val="495057"/>
                <w:sz w:val="20"/>
                <w:szCs w:val="20"/>
              </w:rPr>
              <w:t xml:space="preserve">PASS</w:t>
            </w:r>
          </w:p>
        </w:tc>
      </w:tr>
    </w:tbl>
    <w:p>
      <w:pPr>
        <w:shd w:color="EEF2FF" w:val="solid"/>
        <w:spacing w:before="160" w:after="200"/>
        <w:ind w:left="240" w:right="240"/>
      </w:pPr>
      <w:r>
        <w:rPr>
          <w:b/>
          <w:bCs/>
          <w:color w:val="1f3a6e"/>
          <w:sz w:val="22"/>
          <w:szCs w:val="22"/>
        </w:rPr>
        <w:t xml:space="preserve">Status: PASS = No vulnerability found. REVIEW = Low-risk item noted for monitoring.</w:t>
      </w:r>
    </w:p>
    <w:p>
      <w:r>
        <w:br w:type="page"/>
      </w:r>
    </w:p>
    <w:p>
      <w:pPr>
        <w:pStyle w:val="Heading1"/>
        <w:spacing w:before="600" w:after="240"/>
      </w:pPr>
      <w:r>
        <w:rPr>
          <w:b/>
          <w:bCs/>
          <w:color w:val="1f3a6e"/>
          <w:sz w:val="36"/>
          <w:szCs w:val="36"/>
        </w:rPr>
        <w:t xml:space="preserve">3. Security Policies</w:t>
      </w:r>
    </w:p>
    <w:p>
      <w:pPr>
        <w:pBdr>
          <w:bottom w:val="single" w:color="1f3a6e" w:sz="6"/>
        </w:pBdr>
        <w:spacing w:after="240"/>
      </w:pPr>
    </w:p>
    <w:p>
      <w:pPr>
        <w:pStyle w:val="Heading2"/>
        <w:spacing w:before="400" w:after="160"/>
      </w:pPr>
      <w:r>
        <w:rPr>
          <w:b/>
          <w:bCs/>
          <w:color w:val="1f3a6e"/>
          <w:sz w:val="28"/>
          <w:szCs w:val="28"/>
        </w:rPr>
        <w:t xml:space="preserve">3.1 Password Policy</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50%"/>
            <w:shd w:color="1f3a6e" w:val="solid"/>
          </w:tcPr>
          <w:p>
            <w:pPr>
              <w:spacing w:after="0"/>
            </w:pPr>
            <w:r>
              <w:rPr>
                <w:b/>
                <w:bCs/>
                <w:color w:val="FFFFFF"/>
                <w:sz w:val="20"/>
                <w:szCs w:val="20"/>
              </w:rPr>
              <w:t xml:space="preserve">Policy</w:t>
            </w:r>
          </w:p>
        </w:tc>
        <w:tc>
          <w:tcPr>
            <w:tcW w:type="pct" w:w="50%"/>
            <w:shd w:color="1f3a6e" w:val="solid"/>
          </w:tcPr>
          <w:p>
            <w:pPr>
              <w:spacing w:after="0"/>
            </w:pPr>
            <w:r>
              <w:rPr>
                <w:b/>
                <w:bCs/>
                <w:color w:val="FFFFFF"/>
                <w:sz w:val="20"/>
                <w:szCs w:val="20"/>
              </w:rPr>
              <w:t xml:space="preserve">Requirement</w:t>
            </w:r>
          </w:p>
        </w:tc>
      </w:tr>
      <w:tr>
        <w:tc>
          <w:tcPr>
            <w:tcW w:type="pct" w:w="50%"/>
            <w:shd w:color="F8F9FA" w:val="solid"/>
          </w:tcPr>
          <w:p>
            <w:pPr>
              <w:spacing w:after="0"/>
            </w:pPr>
            <w:r>
              <w:rPr>
                <w:b w:val="false"/>
                <w:bCs w:val="false"/>
                <w:color w:val="495057"/>
                <w:sz w:val="20"/>
                <w:szCs w:val="20"/>
              </w:rPr>
              <w:t xml:space="preserve">Minimum Length</w:t>
            </w:r>
          </w:p>
        </w:tc>
        <w:tc>
          <w:tcPr>
            <w:tcW w:type="pct" w:w="50%"/>
            <w:shd w:color="F8F9FA" w:val="solid"/>
          </w:tcPr>
          <w:p>
            <w:pPr>
              <w:spacing w:after="0"/>
            </w:pPr>
            <w:r>
              <w:rPr>
                <w:b w:val="false"/>
                <w:bCs w:val="false"/>
                <w:color w:val="495057"/>
                <w:sz w:val="20"/>
                <w:szCs w:val="20"/>
              </w:rPr>
              <w:t xml:space="preserve">8 characters</w:t>
            </w:r>
          </w:p>
        </w:tc>
      </w:tr>
      <w:tr>
        <w:tc>
          <w:tcPr>
            <w:tcW w:type="pct" w:w="50%"/>
            <w:shd w:color="FFFFFF" w:val="solid"/>
          </w:tcPr>
          <w:p>
            <w:pPr>
              <w:spacing w:after="0"/>
            </w:pPr>
            <w:r>
              <w:rPr>
                <w:b w:val="false"/>
                <w:bCs w:val="false"/>
                <w:color w:val="495057"/>
                <w:sz w:val="20"/>
                <w:szCs w:val="20"/>
              </w:rPr>
              <w:t xml:space="preserve">Complexity</w:t>
            </w:r>
          </w:p>
        </w:tc>
        <w:tc>
          <w:tcPr>
            <w:tcW w:type="pct" w:w="50%"/>
            <w:shd w:color="FFFFFF" w:val="solid"/>
          </w:tcPr>
          <w:p>
            <w:pPr>
              <w:spacing w:after="0"/>
            </w:pPr>
            <w:r>
              <w:rPr>
                <w:b w:val="false"/>
                <w:bCs w:val="false"/>
                <w:color w:val="495057"/>
                <w:sz w:val="20"/>
                <w:szCs w:val="20"/>
              </w:rPr>
              <w:t xml:space="preserve">Enforced by Supabase Auth — requires mixed characters</w:t>
            </w:r>
          </w:p>
        </w:tc>
      </w:tr>
      <w:tr>
        <w:tc>
          <w:tcPr>
            <w:tcW w:type="pct" w:w="50%"/>
            <w:shd w:color="F8F9FA" w:val="solid"/>
          </w:tcPr>
          <w:p>
            <w:pPr>
              <w:spacing w:after="0"/>
            </w:pPr>
            <w:r>
              <w:rPr>
                <w:b w:val="false"/>
                <w:bCs w:val="false"/>
                <w:color w:val="495057"/>
                <w:sz w:val="20"/>
                <w:szCs w:val="20"/>
              </w:rPr>
              <w:t xml:space="preserve">Expiry</w:t>
            </w:r>
          </w:p>
        </w:tc>
        <w:tc>
          <w:tcPr>
            <w:tcW w:type="pct" w:w="50%"/>
            <w:shd w:color="F8F9FA" w:val="solid"/>
          </w:tcPr>
          <w:p>
            <w:pPr>
              <w:spacing w:after="0"/>
            </w:pPr>
            <w:r>
              <w:rPr>
                <w:b w:val="false"/>
                <w:bCs w:val="false"/>
                <w:color w:val="495057"/>
                <w:sz w:val="20"/>
                <w:szCs w:val="20"/>
              </w:rPr>
              <w:t xml:space="preserve">No forced expiry — user-initiated reset available</w:t>
            </w:r>
          </w:p>
        </w:tc>
      </w:tr>
      <w:tr>
        <w:tc>
          <w:tcPr>
            <w:tcW w:type="pct" w:w="50%"/>
            <w:shd w:color="FFFFFF" w:val="solid"/>
          </w:tcPr>
          <w:p>
            <w:pPr>
              <w:spacing w:after="0"/>
            </w:pPr>
            <w:r>
              <w:rPr>
                <w:b w:val="false"/>
                <w:bCs w:val="false"/>
                <w:color w:val="495057"/>
                <w:sz w:val="20"/>
                <w:szCs w:val="20"/>
              </w:rPr>
              <w:t xml:space="preserve">Storage</w:t>
            </w:r>
          </w:p>
        </w:tc>
        <w:tc>
          <w:tcPr>
            <w:tcW w:type="pct" w:w="50%"/>
            <w:shd w:color="FFFFFF" w:val="solid"/>
          </w:tcPr>
          <w:p>
            <w:pPr>
              <w:spacing w:after="0"/>
            </w:pPr>
            <w:r>
              <w:rPr>
                <w:b w:val="false"/>
                <w:bCs w:val="false"/>
                <w:color w:val="495057"/>
                <w:sz w:val="20"/>
                <w:szCs w:val="20"/>
              </w:rPr>
              <w:t xml:space="preserve">Supabase manages password hashing (bcrypt) — never stored in plain text</w:t>
            </w:r>
          </w:p>
        </w:tc>
      </w:tr>
      <w:tr>
        <w:tc>
          <w:tcPr>
            <w:tcW w:type="pct" w:w="50%"/>
            <w:shd w:color="F8F9FA" w:val="solid"/>
          </w:tcPr>
          <w:p>
            <w:pPr>
              <w:spacing w:after="0"/>
            </w:pPr>
            <w:r>
              <w:rPr>
                <w:b w:val="false"/>
                <w:bCs w:val="false"/>
                <w:color w:val="495057"/>
                <w:sz w:val="20"/>
                <w:szCs w:val="20"/>
              </w:rPr>
              <w:t xml:space="preserve">Transmission</w:t>
            </w:r>
          </w:p>
        </w:tc>
        <w:tc>
          <w:tcPr>
            <w:tcW w:type="pct" w:w="50%"/>
            <w:shd w:color="F8F9FA" w:val="solid"/>
          </w:tcPr>
          <w:p>
            <w:pPr>
              <w:spacing w:after="0"/>
            </w:pPr>
            <w:r>
              <w:rPr>
                <w:b w:val="false"/>
                <w:bCs w:val="false"/>
                <w:color w:val="495057"/>
                <w:sz w:val="20"/>
                <w:szCs w:val="20"/>
              </w:rPr>
              <w:t xml:space="preserve">HTTPS enforced by Netlify HSTS header (max-age=31536000)</w:t>
            </w:r>
          </w:p>
        </w:tc>
      </w:tr>
    </w:tbl>
    <w:p>
      <w:pPr>
        <w:pStyle w:val="Heading2"/>
        <w:spacing w:before="400" w:after="160"/>
      </w:pPr>
      <w:r>
        <w:rPr>
          <w:b/>
          <w:bCs/>
          <w:color w:val="1f3a6e"/>
          <w:sz w:val="28"/>
          <w:szCs w:val="28"/>
        </w:rPr>
        <w:t xml:space="preserve">3.2 Environment Variable Policy</w:t>
      </w:r>
    </w:p>
    <w:p>
      <w:pPr>
        <w:pStyle w:val="ListParagraph"/>
        <w:numPr>
          <w:ilvl w:val="0"/>
          <w:numId w:val="1"/>
        </w:numPr>
        <w:spacing w:after="100"/>
      </w:pPr>
      <w:r>
        <w:rPr>
          <w:color w:val="495057"/>
          <w:sz w:val="22"/>
          <w:szCs w:val="22"/>
        </w:rPr>
        <w:t xml:space="preserve">All secrets and API keys MUST be stored in .env.local (gitignored)</w:t>
      </w:r>
    </w:p>
    <w:p>
      <w:pPr>
        <w:pStyle w:val="ListParagraph"/>
        <w:numPr>
          <w:ilvl w:val="0"/>
          <w:numId w:val="1"/>
        </w:numPr>
        <w:spacing w:after="100"/>
      </w:pPr>
      <w:r>
        <w:rPr>
          <w:color w:val="495057"/>
          <w:sz w:val="22"/>
          <w:szCs w:val="22"/>
        </w:rPr>
        <w:t xml:space="preserve">Never prefix sensitive variables with VITE_ (exposes to client bundle)</w:t>
      </w:r>
    </w:p>
    <w:p>
      <w:pPr>
        <w:pStyle w:val="ListParagraph"/>
        <w:numPr>
          <w:ilvl w:val="0"/>
          <w:numId w:val="1"/>
        </w:numPr>
        <w:spacing w:after="100"/>
      </w:pPr>
      <w:r>
        <w:rPr>
          <w:color w:val="495057"/>
          <w:sz w:val="22"/>
          <w:szCs w:val="22"/>
        </w:rPr>
        <w:t xml:space="preserve">Netlify environment variables are set per-context (production/staging/development)</w:t>
      </w:r>
    </w:p>
    <w:p>
      <w:pPr>
        <w:pStyle w:val="ListParagraph"/>
        <w:numPr>
          <w:ilvl w:val="0"/>
          <w:numId w:val="1"/>
        </w:numPr>
        <w:spacing w:after="100"/>
      </w:pPr>
      <w:r>
        <w:rPr>
          <w:color w:val="495057"/>
          <w:sz w:val="22"/>
          <w:szCs w:val="22"/>
        </w:rPr>
        <w:t xml:space="preserve">Credentials must never appear in source code, comments, or commit messages</w:t>
      </w:r>
    </w:p>
    <w:p>
      <w:pPr>
        <w:pStyle w:val="ListParagraph"/>
        <w:numPr>
          <w:ilvl w:val="0"/>
          <w:numId w:val="1"/>
        </w:numPr>
        <w:spacing w:after="100"/>
      </w:pPr>
      <w:r>
        <w:rPr>
          <w:color w:val="495057"/>
          <w:sz w:val="22"/>
          <w:szCs w:val="22"/>
        </w:rPr>
        <w:t xml:space="preserve">API tokens must be rotated immediately if accidental exposure is detected</w:t>
      </w:r>
    </w:p>
    <w:p>
      <w:pPr>
        <w:pStyle w:val="Heading2"/>
        <w:spacing w:before="400" w:after="160"/>
      </w:pPr>
      <w:r>
        <w:rPr>
          <w:b/>
          <w:bCs/>
          <w:color w:val="1f3a6e"/>
          <w:sz w:val="28"/>
          <w:szCs w:val="28"/>
        </w:rPr>
        <w:t xml:space="preserve">3.3 Authentication &amp; Session Policy</w:t>
      </w:r>
    </w:p>
    <w:p>
      <w:pPr>
        <w:pStyle w:val="ListParagraph"/>
        <w:numPr>
          <w:ilvl w:val="0"/>
          <w:numId w:val="1"/>
        </w:numPr>
        <w:spacing w:after="100"/>
      </w:pPr>
      <w:r>
        <w:rPr>
          <w:color w:val="495057"/>
          <w:sz w:val="22"/>
          <w:szCs w:val="22"/>
        </w:rPr>
        <w:t xml:space="preserve">Supabase JWT tokens are used for all authenticated API calls</w:t>
      </w:r>
    </w:p>
    <w:p>
      <w:pPr>
        <w:pStyle w:val="ListParagraph"/>
        <w:numPr>
          <w:ilvl w:val="0"/>
          <w:numId w:val="1"/>
        </w:numPr>
        <w:spacing w:after="100"/>
      </w:pPr>
      <w:r>
        <w:rPr>
          <w:color w:val="495057"/>
          <w:sz w:val="22"/>
          <w:szCs w:val="22"/>
        </w:rPr>
        <w:t xml:space="preserve">Token expiry: 1 hour (configurable in Supabase Auth settings)</w:t>
      </w:r>
    </w:p>
    <w:p>
      <w:pPr>
        <w:pStyle w:val="ListParagraph"/>
        <w:numPr>
          <w:ilvl w:val="0"/>
          <w:numId w:val="1"/>
        </w:numPr>
        <w:spacing w:after="100"/>
      </w:pPr>
      <w:r>
        <w:rPr>
          <w:color w:val="495057"/>
          <w:sz w:val="22"/>
          <w:szCs w:val="22"/>
        </w:rPr>
        <w:t xml:space="preserve">Refresh token rotation is enabled — tokens cannot be replayed after use</w:t>
      </w:r>
    </w:p>
    <w:p>
      <w:pPr>
        <w:pStyle w:val="ListParagraph"/>
        <w:numPr>
          <w:ilvl w:val="0"/>
          <w:numId w:val="1"/>
        </w:numPr>
        <w:spacing w:after="100"/>
      </w:pPr>
      <w:r>
        <w:rPr>
          <w:color w:val="495057"/>
          <w:sz w:val="22"/>
          <w:szCs w:val="22"/>
        </w:rPr>
        <w:t xml:space="preserve">Google OAuth is the only third-party provider enabled</w:t>
      </w:r>
    </w:p>
    <w:p>
      <w:pPr>
        <w:pStyle w:val="ListParagraph"/>
        <w:numPr>
          <w:ilvl w:val="0"/>
          <w:numId w:val="1"/>
        </w:numPr>
        <w:spacing w:after="100"/>
      </w:pPr>
      <w:r>
        <w:rPr>
          <w:color w:val="495057"/>
          <w:sz w:val="22"/>
          <w:szCs w:val="22"/>
        </w:rPr>
        <w:t xml:space="preserve">All /portal/* routes are protected by ProtectedRoute in App.tsx</w:t>
      </w:r>
    </w:p>
    <w:p>
      <w:pPr>
        <w:pStyle w:val="Heading2"/>
        <w:spacing w:before="400" w:after="160"/>
      </w:pPr>
      <w:r>
        <w:rPr>
          <w:b/>
          <w:bCs/>
          <w:color w:val="1f3a6e"/>
          <w:sz w:val="28"/>
          <w:szCs w:val="28"/>
        </w:rPr>
        <w:t xml:space="preserve">3.4 Data Handling Policy</w:t>
      </w:r>
    </w:p>
    <w:p>
      <w:pPr>
        <w:pStyle w:val="ListParagraph"/>
        <w:numPr>
          <w:ilvl w:val="0"/>
          <w:numId w:val="1"/>
        </w:numPr>
        <w:spacing w:after="100"/>
      </w:pPr>
      <w:r>
        <w:rPr>
          <w:color w:val="495057"/>
          <w:sz w:val="22"/>
          <w:szCs w:val="22"/>
        </w:rPr>
        <w:t xml:space="preserve">All user data is stored in Supabase with Row Level Security (RLS) enabled</w:t>
      </w:r>
    </w:p>
    <w:p>
      <w:pPr>
        <w:pStyle w:val="ListParagraph"/>
        <w:numPr>
          <w:ilvl w:val="0"/>
          <w:numId w:val="1"/>
        </w:numPr>
        <w:spacing w:after="100"/>
      </w:pPr>
      <w:r>
        <w:rPr>
          <w:color w:val="495057"/>
          <w:sz w:val="22"/>
          <w:szCs w:val="22"/>
        </w:rPr>
        <w:t xml:space="preserve">Users can only access their own records — enforced at the database level</w:t>
      </w:r>
    </w:p>
    <w:p>
      <w:pPr>
        <w:pStyle w:val="ListParagraph"/>
        <w:numPr>
          <w:ilvl w:val="0"/>
          <w:numId w:val="1"/>
        </w:numPr>
        <w:spacing w:after="100"/>
      </w:pPr>
      <w:r>
        <w:rPr>
          <w:color w:val="495057"/>
          <w:sz w:val="22"/>
          <w:szCs w:val="22"/>
        </w:rPr>
        <w:t xml:space="preserve">Contact form data is stored only in the contact_submissions table</w:t>
      </w:r>
    </w:p>
    <w:p>
      <w:pPr>
        <w:pStyle w:val="ListParagraph"/>
        <w:numPr>
          <w:ilvl w:val="0"/>
          <w:numId w:val="1"/>
        </w:numPr>
        <w:spacing w:after="100"/>
      </w:pPr>
      <w:r>
        <w:rPr>
          <w:color w:val="495057"/>
          <w:sz w:val="22"/>
          <w:szCs w:val="22"/>
        </w:rPr>
        <w:t xml:space="preserve">No financial data is stored — Financial Analysis Tool inputs are processed in-memory only</w:t>
      </w:r>
    </w:p>
    <w:p>
      <w:pPr>
        <w:pStyle w:val="ListParagraph"/>
        <w:numPr>
          <w:ilvl w:val="0"/>
          <w:numId w:val="1"/>
        </w:numPr>
        <w:spacing w:after="100"/>
      </w:pPr>
      <w:r>
        <w:rPr>
          <w:color w:val="495057"/>
          <w:sz w:val="22"/>
          <w:szCs w:val="22"/>
        </w:rPr>
        <w:t xml:space="preserve">User session data is managed by Supabase Auth SDK, not manually</w:t>
      </w:r>
    </w:p>
    <w:p>
      <w:r>
        <w:br w:type="page"/>
      </w:r>
    </w:p>
    <w:p>
      <w:pPr>
        <w:pStyle w:val="Heading1"/>
        <w:spacing w:before="600" w:after="240"/>
      </w:pPr>
      <w:r>
        <w:rPr>
          <w:b/>
          <w:bCs/>
          <w:color w:val="1f3a6e"/>
          <w:sz w:val="36"/>
          <w:szCs w:val="36"/>
        </w:rPr>
        <w:t xml:space="preserve">4. HTTP Security Headers</w:t>
      </w:r>
    </w:p>
    <w:p>
      <w:pPr>
        <w:pBdr>
          <w:bottom w:val="single" w:color="1f3a6e" w:sz="6"/>
        </w:pBdr>
        <w:spacing w:after="240"/>
      </w:pPr>
    </w:p>
    <w:p>
      <w:pPr>
        <w:spacing w:after="140"/>
      </w:pPr>
      <w:r>
        <w:rPr>
          <w:color w:val="495057"/>
          <w:sz w:val="22"/>
          <w:szCs w:val="22"/>
        </w:rPr>
        <w:t xml:space="preserve">The following security headers are configured in netlify.toml and applied to all responses:</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tblGrid>
      <w:tr>
        <w:trPr>
          <w:tblHeader/>
        </w:trPr>
        <w:tc>
          <w:tcPr>
            <w:tcW w:type="pct" w:w="33%"/>
            <w:shd w:color="1f3a6e" w:val="solid"/>
          </w:tcPr>
          <w:p>
            <w:pPr>
              <w:spacing w:after="0"/>
            </w:pPr>
            <w:r>
              <w:rPr>
                <w:b/>
                <w:bCs/>
                <w:color w:val="FFFFFF"/>
                <w:sz w:val="20"/>
                <w:szCs w:val="20"/>
              </w:rPr>
              <w:t xml:space="preserve">Header</w:t>
            </w:r>
          </w:p>
        </w:tc>
        <w:tc>
          <w:tcPr>
            <w:tcW w:type="pct" w:w="33%"/>
            <w:shd w:color="1f3a6e" w:val="solid"/>
          </w:tcPr>
          <w:p>
            <w:pPr>
              <w:spacing w:after="0"/>
            </w:pPr>
            <w:r>
              <w:rPr>
                <w:b/>
                <w:bCs/>
                <w:color w:val="FFFFFF"/>
                <w:sz w:val="20"/>
                <w:szCs w:val="20"/>
              </w:rPr>
              <w:t xml:space="preserve">Value</w:t>
            </w:r>
          </w:p>
        </w:tc>
        <w:tc>
          <w:tcPr>
            <w:tcW w:type="pct" w:w="33%"/>
            <w:shd w:color="1f3a6e" w:val="solid"/>
          </w:tcPr>
          <w:p>
            <w:pPr>
              <w:spacing w:after="0"/>
            </w:pPr>
            <w:r>
              <w:rPr>
                <w:b/>
                <w:bCs/>
                <w:color w:val="FFFFFF"/>
                <w:sz w:val="20"/>
                <w:szCs w:val="20"/>
              </w:rPr>
              <w:t xml:space="preserve">Purpose</w:t>
            </w:r>
          </w:p>
        </w:tc>
      </w:tr>
      <w:tr>
        <w:tc>
          <w:tcPr>
            <w:tcW w:type="pct" w:w="33%"/>
            <w:shd w:color="F8F9FA" w:val="solid"/>
          </w:tcPr>
          <w:p>
            <w:pPr>
              <w:spacing w:after="0"/>
            </w:pPr>
            <w:r>
              <w:rPr>
                <w:b w:val="false"/>
                <w:bCs w:val="false"/>
                <w:color w:val="495057"/>
                <w:sz w:val="20"/>
                <w:szCs w:val="20"/>
              </w:rPr>
              <w:t xml:space="preserve">Content-Security-Policy</w:t>
            </w:r>
          </w:p>
        </w:tc>
        <w:tc>
          <w:tcPr>
            <w:tcW w:type="pct" w:w="33%"/>
            <w:shd w:color="F8F9FA" w:val="solid"/>
          </w:tcPr>
          <w:p>
            <w:pPr>
              <w:spacing w:after="0"/>
            </w:pPr>
            <w:r>
              <w:rPr>
                <w:b w:val="false"/>
                <w:bCs w:val="false"/>
                <w:color w:val="495057"/>
                <w:sz w:val="20"/>
                <w:szCs w:val="20"/>
              </w:rPr>
              <w:t xml:space="preserve">default-src 'self'; script-src 'self' 'unsafe-inline'; ...</w:t>
            </w:r>
          </w:p>
        </w:tc>
        <w:tc>
          <w:tcPr>
            <w:tcW w:type="pct" w:w="33%"/>
            <w:shd w:color="F8F9FA" w:val="solid"/>
          </w:tcPr>
          <w:p>
            <w:pPr>
              <w:spacing w:after="0"/>
            </w:pPr>
            <w:r>
              <w:rPr>
                <w:b w:val="false"/>
                <w:bCs w:val="false"/>
                <w:color w:val="495057"/>
                <w:sz w:val="20"/>
                <w:szCs w:val="20"/>
              </w:rPr>
              <w:t xml:space="preserve">Prevents XSS and injection attacks</w:t>
            </w:r>
          </w:p>
        </w:tc>
      </w:tr>
      <w:tr>
        <w:tc>
          <w:tcPr>
            <w:tcW w:type="pct" w:w="33%"/>
            <w:shd w:color="FFFFFF" w:val="solid"/>
          </w:tcPr>
          <w:p>
            <w:pPr>
              <w:spacing w:after="0"/>
            </w:pPr>
            <w:r>
              <w:rPr>
                <w:b w:val="false"/>
                <w:bCs w:val="false"/>
                <w:color w:val="495057"/>
                <w:sz w:val="20"/>
                <w:szCs w:val="20"/>
              </w:rPr>
              <w:t xml:space="preserve">Strict-Transport-Security</w:t>
            </w:r>
          </w:p>
        </w:tc>
        <w:tc>
          <w:tcPr>
            <w:tcW w:type="pct" w:w="33%"/>
            <w:shd w:color="FFFFFF" w:val="solid"/>
          </w:tcPr>
          <w:p>
            <w:pPr>
              <w:spacing w:after="0"/>
            </w:pPr>
            <w:r>
              <w:rPr>
                <w:b w:val="false"/>
                <w:bCs w:val="false"/>
                <w:color w:val="495057"/>
                <w:sz w:val="20"/>
                <w:szCs w:val="20"/>
              </w:rPr>
              <w:t xml:space="preserve">max-age=31536000; includeSubDomains; preload</w:t>
            </w:r>
          </w:p>
        </w:tc>
        <w:tc>
          <w:tcPr>
            <w:tcW w:type="pct" w:w="33%"/>
            <w:shd w:color="FFFFFF" w:val="solid"/>
          </w:tcPr>
          <w:p>
            <w:pPr>
              <w:spacing w:after="0"/>
            </w:pPr>
            <w:r>
              <w:rPr>
                <w:b w:val="false"/>
                <w:bCs w:val="false"/>
                <w:color w:val="495057"/>
                <w:sz w:val="20"/>
                <w:szCs w:val="20"/>
              </w:rPr>
              <w:t xml:space="preserve">Enforces HTTPS</w:t>
            </w:r>
          </w:p>
        </w:tc>
      </w:tr>
      <w:tr>
        <w:tc>
          <w:tcPr>
            <w:tcW w:type="pct" w:w="33%"/>
            <w:shd w:color="F8F9FA" w:val="solid"/>
          </w:tcPr>
          <w:p>
            <w:pPr>
              <w:spacing w:after="0"/>
            </w:pPr>
            <w:r>
              <w:rPr>
                <w:b w:val="false"/>
                <w:bCs w:val="false"/>
                <w:color w:val="495057"/>
                <w:sz w:val="20"/>
                <w:szCs w:val="20"/>
              </w:rPr>
              <w:t xml:space="preserve">X-Frame-Options</w:t>
            </w:r>
          </w:p>
        </w:tc>
        <w:tc>
          <w:tcPr>
            <w:tcW w:type="pct" w:w="33%"/>
            <w:shd w:color="F8F9FA" w:val="solid"/>
          </w:tcPr>
          <w:p>
            <w:pPr>
              <w:spacing w:after="0"/>
            </w:pPr>
            <w:r>
              <w:rPr>
                <w:b w:val="false"/>
                <w:bCs w:val="false"/>
                <w:color w:val="495057"/>
                <w:sz w:val="20"/>
                <w:szCs w:val="20"/>
              </w:rPr>
              <w:t xml:space="preserve">DENY</w:t>
            </w:r>
          </w:p>
        </w:tc>
        <w:tc>
          <w:tcPr>
            <w:tcW w:type="pct" w:w="33%"/>
            <w:shd w:color="F8F9FA" w:val="solid"/>
          </w:tcPr>
          <w:p>
            <w:pPr>
              <w:spacing w:after="0"/>
            </w:pPr>
            <w:r>
              <w:rPr>
                <w:b w:val="false"/>
                <w:bCs w:val="false"/>
                <w:color w:val="495057"/>
                <w:sz w:val="20"/>
                <w:szCs w:val="20"/>
              </w:rPr>
              <w:t xml:space="preserve">Prevents clickjacking attacks</w:t>
            </w:r>
          </w:p>
        </w:tc>
      </w:tr>
      <w:tr>
        <w:tc>
          <w:tcPr>
            <w:tcW w:type="pct" w:w="33%"/>
            <w:shd w:color="FFFFFF" w:val="solid"/>
          </w:tcPr>
          <w:p>
            <w:pPr>
              <w:spacing w:after="0"/>
            </w:pPr>
            <w:r>
              <w:rPr>
                <w:b w:val="false"/>
                <w:bCs w:val="false"/>
                <w:color w:val="495057"/>
                <w:sz w:val="20"/>
                <w:szCs w:val="20"/>
              </w:rPr>
              <w:t xml:space="preserve">X-XSS-Protection</w:t>
            </w:r>
          </w:p>
        </w:tc>
        <w:tc>
          <w:tcPr>
            <w:tcW w:type="pct" w:w="33%"/>
            <w:shd w:color="FFFFFF" w:val="solid"/>
          </w:tcPr>
          <w:p>
            <w:pPr>
              <w:spacing w:after="0"/>
            </w:pPr>
            <w:r>
              <w:rPr>
                <w:b w:val="false"/>
                <w:bCs w:val="false"/>
                <w:color w:val="495057"/>
                <w:sz w:val="20"/>
                <w:szCs w:val="20"/>
              </w:rPr>
              <w:t xml:space="preserve">1; mode=block</w:t>
            </w:r>
          </w:p>
        </w:tc>
        <w:tc>
          <w:tcPr>
            <w:tcW w:type="pct" w:w="33%"/>
            <w:shd w:color="FFFFFF" w:val="solid"/>
          </w:tcPr>
          <w:p>
            <w:pPr>
              <w:spacing w:after="0"/>
            </w:pPr>
            <w:r>
              <w:rPr>
                <w:b w:val="false"/>
                <w:bCs w:val="false"/>
                <w:color w:val="495057"/>
                <w:sz w:val="20"/>
                <w:szCs w:val="20"/>
              </w:rPr>
              <w:t xml:space="preserve">Legacy XSS browser filter</w:t>
            </w:r>
          </w:p>
        </w:tc>
      </w:tr>
      <w:tr>
        <w:tc>
          <w:tcPr>
            <w:tcW w:type="pct" w:w="33%"/>
            <w:shd w:color="F8F9FA" w:val="solid"/>
          </w:tcPr>
          <w:p>
            <w:pPr>
              <w:spacing w:after="0"/>
            </w:pPr>
            <w:r>
              <w:rPr>
                <w:b w:val="false"/>
                <w:bCs w:val="false"/>
                <w:color w:val="495057"/>
                <w:sz w:val="20"/>
                <w:szCs w:val="20"/>
              </w:rPr>
              <w:t xml:space="preserve">X-Content-Type-Options</w:t>
            </w:r>
          </w:p>
        </w:tc>
        <w:tc>
          <w:tcPr>
            <w:tcW w:type="pct" w:w="33%"/>
            <w:shd w:color="F8F9FA" w:val="solid"/>
          </w:tcPr>
          <w:p>
            <w:pPr>
              <w:spacing w:after="0"/>
            </w:pPr>
            <w:r>
              <w:rPr>
                <w:b w:val="false"/>
                <w:bCs w:val="false"/>
                <w:color w:val="495057"/>
                <w:sz w:val="20"/>
                <w:szCs w:val="20"/>
              </w:rPr>
              <w:t xml:space="preserve">nosniff</w:t>
            </w:r>
          </w:p>
        </w:tc>
        <w:tc>
          <w:tcPr>
            <w:tcW w:type="pct" w:w="33%"/>
            <w:shd w:color="F8F9FA" w:val="solid"/>
          </w:tcPr>
          <w:p>
            <w:pPr>
              <w:spacing w:after="0"/>
            </w:pPr>
            <w:r>
              <w:rPr>
                <w:b w:val="false"/>
                <w:bCs w:val="false"/>
                <w:color w:val="495057"/>
                <w:sz w:val="20"/>
                <w:szCs w:val="20"/>
              </w:rPr>
              <w:t xml:space="preserve">Prevents MIME sniffing</w:t>
            </w:r>
          </w:p>
        </w:tc>
      </w:tr>
      <w:tr>
        <w:tc>
          <w:tcPr>
            <w:tcW w:type="pct" w:w="33%"/>
            <w:shd w:color="FFFFFF" w:val="solid"/>
          </w:tcPr>
          <w:p>
            <w:pPr>
              <w:spacing w:after="0"/>
            </w:pPr>
            <w:r>
              <w:rPr>
                <w:b w:val="false"/>
                <w:bCs w:val="false"/>
                <w:color w:val="495057"/>
                <w:sz w:val="20"/>
                <w:szCs w:val="20"/>
              </w:rPr>
              <w:t xml:space="preserve">Referrer-Policy</w:t>
            </w:r>
          </w:p>
        </w:tc>
        <w:tc>
          <w:tcPr>
            <w:tcW w:type="pct" w:w="33%"/>
            <w:shd w:color="FFFFFF" w:val="solid"/>
          </w:tcPr>
          <w:p>
            <w:pPr>
              <w:spacing w:after="0"/>
            </w:pPr>
            <w:r>
              <w:rPr>
                <w:b w:val="false"/>
                <w:bCs w:val="false"/>
                <w:color w:val="495057"/>
                <w:sz w:val="20"/>
                <w:szCs w:val="20"/>
              </w:rPr>
              <w:t xml:space="preserve">strict-origin-when-cross-origin</w:t>
            </w:r>
          </w:p>
        </w:tc>
        <w:tc>
          <w:tcPr>
            <w:tcW w:type="pct" w:w="33%"/>
            <w:shd w:color="FFFFFF" w:val="solid"/>
          </w:tcPr>
          <w:p>
            <w:pPr>
              <w:spacing w:after="0"/>
            </w:pPr>
            <w:r>
              <w:rPr>
                <w:b w:val="false"/>
                <w:bCs w:val="false"/>
                <w:color w:val="495057"/>
                <w:sz w:val="20"/>
                <w:szCs w:val="20"/>
              </w:rPr>
              <w:t xml:space="preserve">Limits referrer header leakage</w:t>
            </w:r>
          </w:p>
        </w:tc>
      </w:tr>
      <w:tr>
        <w:tc>
          <w:tcPr>
            <w:tcW w:type="pct" w:w="33%"/>
            <w:shd w:color="F8F9FA" w:val="solid"/>
          </w:tcPr>
          <w:p>
            <w:pPr>
              <w:spacing w:after="0"/>
            </w:pPr>
            <w:r>
              <w:rPr>
                <w:b w:val="false"/>
                <w:bCs w:val="false"/>
                <w:color w:val="495057"/>
                <w:sz w:val="20"/>
                <w:szCs w:val="20"/>
              </w:rPr>
              <w:t xml:space="preserve">Permissions-Policy</w:t>
            </w:r>
          </w:p>
        </w:tc>
        <w:tc>
          <w:tcPr>
            <w:tcW w:type="pct" w:w="33%"/>
            <w:shd w:color="F8F9FA" w:val="solid"/>
          </w:tcPr>
          <w:p>
            <w:pPr>
              <w:spacing w:after="0"/>
            </w:pPr>
            <w:r>
              <w:rPr>
                <w:b w:val="false"/>
                <w:bCs w:val="false"/>
                <w:color w:val="495057"/>
                <w:sz w:val="20"/>
                <w:szCs w:val="20"/>
              </w:rPr>
              <w:t xml:space="preserve">camera=(), microphone=(), geolocation=()</w:t>
            </w:r>
          </w:p>
        </w:tc>
        <w:tc>
          <w:tcPr>
            <w:tcW w:type="pct" w:w="33%"/>
            <w:shd w:color="F8F9FA" w:val="solid"/>
          </w:tcPr>
          <w:p>
            <w:pPr>
              <w:spacing w:after="0"/>
            </w:pPr>
            <w:r>
              <w:rPr>
                <w:b w:val="false"/>
                <w:bCs w:val="false"/>
                <w:color w:val="495057"/>
                <w:sz w:val="20"/>
                <w:szCs w:val="20"/>
              </w:rPr>
              <w:t xml:space="preserve">Restricts browser API access</w:t>
            </w:r>
          </w:p>
        </w:tc>
      </w:tr>
    </w:tbl>
    <w:p>
      <w:pPr>
        <w:pStyle w:val="Heading1"/>
        <w:spacing w:before="600" w:after="240"/>
      </w:pPr>
      <w:r>
        <w:rPr>
          <w:b/>
          <w:bCs/>
          <w:color w:val="1f3a6e"/>
          <w:sz w:val="36"/>
          <w:szCs w:val="36"/>
        </w:rPr>
        <w:t xml:space="preserve">5. Incident Response Procedures</w:t>
      </w:r>
    </w:p>
    <w:p>
      <w:pPr>
        <w:pBdr>
          <w:bottom w:val="single" w:color="1f3a6e" w:sz="6"/>
        </w:pBdr>
        <w:spacing w:after="240"/>
      </w:pPr>
    </w:p>
    <w:p>
      <w:pPr>
        <w:pStyle w:val="Heading2"/>
        <w:spacing w:before="400" w:after="160"/>
      </w:pPr>
      <w:r>
        <w:rPr>
          <w:b/>
          <w:bCs/>
          <w:color w:val="1f3a6e"/>
          <w:sz w:val="28"/>
          <w:szCs w:val="28"/>
        </w:rPr>
        <w:t xml:space="preserve">5.1 Incident Classification</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tblGrid>
      <w:tr>
        <w:trPr>
          <w:tblHeader/>
        </w:trPr>
        <w:tc>
          <w:tcPr>
            <w:tcW w:type="pct" w:w="25%"/>
            <w:shd w:color="1f3a6e" w:val="solid"/>
          </w:tcPr>
          <w:p>
            <w:pPr>
              <w:spacing w:after="0"/>
            </w:pPr>
            <w:r>
              <w:rPr>
                <w:b/>
                <w:bCs/>
                <w:color w:val="FFFFFF"/>
                <w:sz w:val="20"/>
                <w:szCs w:val="20"/>
              </w:rPr>
              <w:t xml:space="preserve">Level</w:t>
            </w:r>
          </w:p>
        </w:tc>
        <w:tc>
          <w:tcPr>
            <w:tcW w:type="pct" w:w="25%"/>
            <w:shd w:color="1f3a6e" w:val="solid"/>
          </w:tcPr>
          <w:p>
            <w:pPr>
              <w:spacing w:after="0"/>
            </w:pPr>
            <w:r>
              <w:rPr>
                <w:b/>
                <w:bCs/>
                <w:color w:val="FFFFFF"/>
                <w:sz w:val="20"/>
                <w:szCs w:val="20"/>
              </w:rPr>
              <w:t xml:space="preserve">Description</w:t>
            </w:r>
          </w:p>
        </w:tc>
        <w:tc>
          <w:tcPr>
            <w:tcW w:type="pct" w:w="25%"/>
            <w:shd w:color="1f3a6e" w:val="solid"/>
          </w:tcPr>
          <w:p>
            <w:pPr>
              <w:spacing w:after="0"/>
            </w:pPr>
            <w:r>
              <w:rPr>
                <w:b/>
                <w:bCs/>
                <w:color w:val="FFFFFF"/>
                <w:sz w:val="20"/>
                <w:szCs w:val="20"/>
              </w:rPr>
              <w:t xml:space="preserve">Response Time</w:t>
            </w:r>
          </w:p>
        </w:tc>
        <w:tc>
          <w:tcPr>
            <w:tcW w:type="pct" w:w="25%"/>
            <w:shd w:color="1f3a6e" w:val="solid"/>
          </w:tcPr>
          <w:p>
            <w:pPr>
              <w:spacing w:after="0"/>
            </w:pPr>
            <w:r>
              <w:rPr>
                <w:b/>
                <w:bCs/>
                <w:color w:val="FFFFFF"/>
                <w:sz w:val="20"/>
                <w:szCs w:val="20"/>
              </w:rPr>
              <w:t xml:space="preserve">Examples</w:t>
            </w:r>
          </w:p>
        </w:tc>
      </w:tr>
      <w:tr>
        <w:tc>
          <w:tcPr>
            <w:tcW w:type="pct" w:w="25%"/>
            <w:shd w:color="F8F9FA" w:val="solid"/>
          </w:tcPr>
          <w:p>
            <w:pPr>
              <w:spacing w:after="0"/>
            </w:pPr>
            <w:r>
              <w:rPr>
                <w:b w:val="false"/>
                <w:bCs w:val="false"/>
                <w:color w:val="495057"/>
                <w:sz w:val="20"/>
                <w:szCs w:val="20"/>
              </w:rPr>
              <w:t xml:space="preserve">P1 – Critical</w:t>
            </w:r>
          </w:p>
        </w:tc>
        <w:tc>
          <w:tcPr>
            <w:tcW w:type="pct" w:w="25%"/>
            <w:shd w:color="F8F9FA" w:val="solid"/>
          </w:tcPr>
          <w:p>
            <w:pPr>
              <w:spacing w:after="0"/>
            </w:pPr>
            <w:r>
              <w:rPr>
                <w:b w:val="false"/>
                <w:bCs w:val="false"/>
                <w:color w:val="495057"/>
                <w:sz w:val="20"/>
                <w:szCs w:val="20"/>
              </w:rPr>
              <w:t xml:space="preserve">Active breach or data exposure</w:t>
            </w:r>
          </w:p>
        </w:tc>
        <w:tc>
          <w:tcPr>
            <w:tcW w:type="pct" w:w="25%"/>
            <w:shd w:color="F8F9FA" w:val="solid"/>
          </w:tcPr>
          <w:p>
            <w:pPr>
              <w:spacing w:after="0"/>
            </w:pPr>
            <w:r>
              <w:rPr>
                <w:b w:val="false"/>
                <w:bCs w:val="false"/>
                <w:color w:val="495057"/>
                <w:sz w:val="20"/>
                <w:szCs w:val="20"/>
              </w:rPr>
              <w:t xml:space="preserve">Immediate (&lt; 1 hour)</w:t>
            </w:r>
          </w:p>
        </w:tc>
        <w:tc>
          <w:tcPr>
            <w:tcW w:type="pct" w:w="25%"/>
            <w:shd w:color="F8F9FA" w:val="solid"/>
          </w:tcPr>
          <w:p>
            <w:pPr>
              <w:spacing w:after="0"/>
            </w:pPr>
            <w:r>
              <w:rPr>
                <w:b w:val="false"/>
                <w:bCs w:val="false"/>
                <w:color w:val="495057"/>
                <w:sz w:val="20"/>
                <w:szCs w:val="20"/>
              </w:rPr>
              <w:t xml:space="preserve">Credentials in git history, RLS bypass</w:t>
            </w:r>
          </w:p>
        </w:tc>
      </w:tr>
      <w:tr>
        <w:tc>
          <w:tcPr>
            <w:tcW w:type="pct" w:w="25%"/>
            <w:shd w:color="FFFFFF" w:val="solid"/>
          </w:tcPr>
          <w:p>
            <w:pPr>
              <w:spacing w:after="0"/>
            </w:pPr>
            <w:r>
              <w:rPr>
                <w:b w:val="false"/>
                <w:bCs w:val="false"/>
                <w:color w:val="495057"/>
                <w:sz w:val="20"/>
                <w:szCs w:val="20"/>
              </w:rPr>
              <w:t xml:space="preserve">P2 – High</w:t>
            </w:r>
          </w:p>
        </w:tc>
        <w:tc>
          <w:tcPr>
            <w:tcW w:type="pct" w:w="25%"/>
            <w:shd w:color="FFFFFF" w:val="solid"/>
          </w:tcPr>
          <w:p>
            <w:pPr>
              <w:spacing w:after="0"/>
            </w:pPr>
            <w:r>
              <w:rPr>
                <w:b w:val="false"/>
                <w:bCs w:val="false"/>
                <w:color w:val="495057"/>
                <w:sz w:val="20"/>
                <w:szCs w:val="20"/>
              </w:rPr>
              <w:t xml:space="preserve">Vulnerability exploitable in production</w:t>
            </w:r>
          </w:p>
        </w:tc>
        <w:tc>
          <w:tcPr>
            <w:tcW w:type="pct" w:w="25%"/>
            <w:shd w:color="FFFFFF" w:val="solid"/>
          </w:tcPr>
          <w:p>
            <w:pPr>
              <w:spacing w:after="0"/>
            </w:pPr>
            <w:r>
              <w:rPr>
                <w:b w:val="false"/>
                <w:bCs w:val="false"/>
                <w:color w:val="495057"/>
                <w:sz w:val="20"/>
                <w:szCs w:val="20"/>
              </w:rPr>
              <w:t xml:space="preserve">&lt; 24 hours</w:t>
            </w:r>
          </w:p>
        </w:tc>
        <w:tc>
          <w:tcPr>
            <w:tcW w:type="pct" w:w="25%"/>
            <w:shd w:color="FFFFFF" w:val="solid"/>
          </w:tcPr>
          <w:p>
            <w:pPr>
              <w:spacing w:after="0"/>
            </w:pPr>
            <w:r>
              <w:rPr>
                <w:b w:val="false"/>
                <w:bCs w:val="false"/>
                <w:color w:val="495057"/>
                <w:sz w:val="20"/>
                <w:szCs w:val="20"/>
              </w:rPr>
              <w:t xml:space="preserve">Unpatched CVE in critical dependency</w:t>
            </w:r>
          </w:p>
        </w:tc>
      </w:tr>
      <w:tr>
        <w:tc>
          <w:tcPr>
            <w:tcW w:type="pct" w:w="25%"/>
            <w:shd w:color="F8F9FA" w:val="solid"/>
          </w:tcPr>
          <w:p>
            <w:pPr>
              <w:spacing w:after="0"/>
            </w:pPr>
            <w:r>
              <w:rPr>
                <w:b w:val="false"/>
                <w:bCs w:val="false"/>
                <w:color w:val="495057"/>
                <w:sz w:val="20"/>
                <w:szCs w:val="20"/>
              </w:rPr>
              <w:t xml:space="preserve">P3 – Medium</w:t>
            </w:r>
          </w:p>
        </w:tc>
        <w:tc>
          <w:tcPr>
            <w:tcW w:type="pct" w:w="25%"/>
            <w:shd w:color="F8F9FA" w:val="solid"/>
          </w:tcPr>
          <w:p>
            <w:pPr>
              <w:spacing w:after="0"/>
            </w:pPr>
            <w:r>
              <w:rPr>
                <w:b w:val="false"/>
                <w:bCs w:val="false"/>
                <w:color w:val="495057"/>
                <w:sz w:val="20"/>
                <w:szCs w:val="20"/>
              </w:rPr>
              <w:t xml:space="preserve">Potential weakness, not actively exploited</w:t>
            </w:r>
          </w:p>
        </w:tc>
        <w:tc>
          <w:tcPr>
            <w:tcW w:type="pct" w:w="25%"/>
            <w:shd w:color="F8F9FA" w:val="solid"/>
          </w:tcPr>
          <w:p>
            <w:pPr>
              <w:spacing w:after="0"/>
            </w:pPr>
            <w:r>
              <w:rPr>
                <w:b w:val="false"/>
                <w:bCs w:val="false"/>
                <w:color w:val="495057"/>
                <w:sz w:val="20"/>
                <w:szCs w:val="20"/>
              </w:rPr>
              <w:t xml:space="preserve">&lt; 7 days</w:t>
            </w:r>
          </w:p>
        </w:tc>
        <w:tc>
          <w:tcPr>
            <w:tcW w:type="pct" w:w="25%"/>
            <w:shd w:color="F8F9FA" w:val="solid"/>
          </w:tcPr>
          <w:p>
            <w:pPr>
              <w:spacing w:after="0"/>
            </w:pPr>
            <w:r>
              <w:rPr>
                <w:b w:val="false"/>
                <w:bCs w:val="false"/>
                <w:color w:val="495057"/>
                <w:sz w:val="20"/>
                <w:szCs w:val="20"/>
              </w:rPr>
              <w:t xml:space="preserve">CORS review finding, weak CSP</w:t>
            </w:r>
          </w:p>
        </w:tc>
      </w:tr>
      <w:tr>
        <w:tc>
          <w:tcPr>
            <w:tcW w:type="pct" w:w="25%"/>
            <w:shd w:color="FFFFFF" w:val="solid"/>
          </w:tcPr>
          <w:p>
            <w:pPr>
              <w:spacing w:after="0"/>
            </w:pPr>
            <w:r>
              <w:rPr>
                <w:b w:val="false"/>
                <w:bCs w:val="false"/>
                <w:color w:val="495057"/>
                <w:sz w:val="20"/>
                <w:szCs w:val="20"/>
              </w:rPr>
              <w:t xml:space="preserve">P4 – Low</w:t>
            </w:r>
          </w:p>
        </w:tc>
        <w:tc>
          <w:tcPr>
            <w:tcW w:type="pct" w:w="25%"/>
            <w:shd w:color="FFFFFF" w:val="solid"/>
          </w:tcPr>
          <w:p>
            <w:pPr>
              <w:spacing w:after="0"/>
            </w:pPr>
            <w:r>
              <w:rPr>
                <w:b w:val="false"/>
                <w:bCs w:val="false"/>
                <w:color w:val="495057"/>
                <w:sz w:val="20"/>
                <w:szCs w:val="20"/>
              </w:rPr>
              <w:t xml:space="preserve">Informational finding, low risk</w:t>
            </w:r>
          </w:p>
        </w:tc>
        <w:tc>
          <w:tcPr>
            <w:tcW w:type="pct" w:w="25%"/>
            <w:shd w:color="FFFFFF" w:val="solid"/>
          </w:tcPr>
          <w:p>
            <w:pPr>
              <w:spacing w:after="0"/>
            </w:pPr>
            <w:r>
              <w:rPr>
                <w:b w:val="false"/>
                <w:bCs w:val="false"/>
                <w:color w:val="495057"/>
                <w:sz w:val="20"/>
                <w:szCs w:val="20"/>
              </w:rPr>
              <w:t xml:space="preserve">&lt; 30 days</w:t>
            </w:r>
          </w:p>
        </w:tc>
        <w:tc>
          <w:tcPr>
            <w:tcW w:type="pct" w:w="25%"/>
            <w:shd w:color="FFFFFF" w:val="solid"/>
          </w:tcPr>
          <w:p>
            <w:pPr>
              <w:spacing w:after="0"/>
            </w:pPr>
            <w:r>
              <w:rPr>
                <w:b w:val="false"/>
                <w:bCs w:val="false"/>
                <w:color w:val="495057"/>
                <w:sz w:val="20"/>
                <w:szCs w:val="20"/>
              </w:rPr>
              <w:t xml:space="preserve">Dependency advisory, console log</w:t>
            </w:r>
          </w:p>
        </w:tc>
      </w:tr>
    </w:tbl>
    <w:p>
      <w:pPr>
        <w:pStyle w:val="Heading2"/>
        <w:spacing w:before="400" w:after="160"/>
      </w:pPr>
      <w:r>
        <w:rPr>
          <w:b/>
          <w:bCs/>
          <w:color w:val="1f3a6e"/>
          <w:sz w:val="28"/>
          <w:szCs w:val="28"/>
        </w:rPr>
        <w:t xml:space="preserve">5.2 Incident Response Steps</w:t>
      </w:r>
    </w:p>
    <w:p>
      <w:pPr>
        <w:spacing w:after="140"/>
      </w:pPr>
      <w:r>
        <w:rPr>
          <w:color w:val="495057"/>
          <w:sz w:val="22"/>
          <w:szCs w:val="22"/>
        </w:rPr>
        <w:t xml:space="preserve">P1 Critical Incident:</w:t>
      </w:r>
    </w:p>
    <w:p>
      <w:pPr>
        <w:pStyle w:val="ListParagraph"/>
        <w:numPr>
          <w:ilvl w:val="0"/>
          <w:numId w:val="1"/>
        </w:numPr>
        <w:spacing w:after="100"/>
      </w:pPr>
      <w:r>
        <w:rPr>
          <w:color w:val="495057"/>
          <w:sz w:val="22"/>
          <w:szCs w:val="22"/>
        </w:rPr>
        <w:t xml:space="preserve">1. ISOLATE: Immediately revoke exposed credentials (rotate API keys, tokens)</w:t>
      </w:r>
    </w:p>
    <w:p>
      <w:pPr>
        <w:pStyle w:val="ListParagraph"/>
        <w:numPr>
          <w:ilvl w:val="0"/>
          <w:numId w:val="1"/>
        </w:numPr>
        <w:spacing w:after="100"/>
      </w:pPr>
      <w:r>
        <w:rPr>
          <w:color w:val="495057"/>
          <w:sz w:val="22"/>
          <w:szCs w:val="22"/>
        </w:rPr>
        <w:t xml:space="preserve">2. CONTAIN: If code is in git history, contact GitHub support for history purge</w:t>
      </w:r>
    </w:p>
    <w:p>
      <w:pPr>
        <w:pStyle w:val="ListParagraph"/>
        <w:numPr>
          <w:ilvl w:val="0"/>
          <w:numId w:val="1"/>
        </w:numPr>
        <w:spacing w:after="100"/>
      </w:pPr>
      <w:r>
        <w:rPr>
          <w:color w:val="495057"/>
          <w:sz w:val="22"/>
          <w:szCs w:val="22"/>
        </w:rPr>
        <w:t xml:space="preserve">3. ASSESS: Determine scope of exposure — what data, how long, who accessed</w:t>
      </w:r>
    </w:p>
    <w:p>
      <w:pPr>
        <w:pStyle w:val="ListParagraph"/>
        <w:numPr>
          <w:ilvl w:val="0"/>
          <w:numId w:val="1"/>
        </w:numPr>
        <w:spacing w:after="100"/>
      </w:pPr>
      <w:r>
        <w:rPr>
          <w:color w:val="495057"/>
          <w:sz w:val="22"/>
          <w:szCs w:val="22"/>
        </w:rPr>
        <w:t xml:space="preserve">4. NOTIFY: Inform supervisor (Raymond Crown) and affected users within 72 hours (POPIA requirement)</w:t>
      </w:r>
    </w:p>
    <w:p>
      <w:pPr>
        <w:pStyle w:val="ListParagraph"/>
        <w:numPr>
          <w:ilvl w:val="0"/>
          <w:numId w:val="1"/>
        </w:numPr>
        <w:spacing w:after="100"/>
      </w:pPr>
      <w:r>
        <w:rPr>
          <w:color w:val="495057"/>
          <w:sz w:val="22"/>
          <w:szCs w:val="22"/>
        </w:rPr>
        <w:t xml:space="preserve">5. REMEDIATE: Fix the root cause and deploy the patch</w:t>
      </w:r>
    </w:p>
    <w:p>
      <w:pPr>
        <w:pStyle w:val="ListParagraph"/>
        <w:numPr>
          <w:ilvl w:val="0"/>
          <w:numId w:val="1"/>
        </w:numPr>
        <w:spacing w:after="100"/>
      </w:pPr>
      <w:r>
        <w:rPr>
          <w:color w:val="495057"/>
          <w:sz w:val="22"/>
          <w:szCs w:val="22"/>
        </w:rPr>
        <w:t xml:space="preserve">6. DOCUMENT: Create an incident report and update the bug tracker</w:t>
      </w:r>
    </w:p>
    <w:p>
      <w:pPr>
        <w:pStyle w:val="ListParagraph"/>
        <w:numPr>
          <w:ilvl w:val="0"/>
          <w:numId w:val="1"/>
        </w:numPr>
        <w:spacing w:after="100"/>
      </w:pPr>
      <w:r>
        <w:rPr>
          <w:color w:val="495057"/>
          <w:sz w:val="22"/>
          <w:szCs w:val="22"/>
        </w:rPr>
        <w:t xml:space="preserve">7. REVIEW: Post-incident review to prevent recurrence</w:t>
      </w:r>
    </w:p>
    <w:p>
      <w:pPr>
        <w:pStyle w:val="Heading2"/>
        <w:spacing w:before="400" w:after="160"/>
      </w:pPr>
      <w:r>
        <w:rPr>
          <w:b/>
          <w:bCs/>
          <w:color w:val="1f3a6e"/>
          <w:sz w:val="28"/>
          <w:szCs w:val="28"/>
        </w:rPr>
        <w:t xml:space="preserve">5.3 Credential Rotation Procedure</w:t>
      </w:r>
    </w:p>
    <w:p>
      <w:pPr>
        <w:spacing w:after="140"/>
      </w:pPr>
      <w:r>
        <w:rPr>
          <w:color w:val="495057"/>
          <w:sz w:val="22"/>
          <w:szCs w:val="22"/>
        </w:rPr>
        <w:t xml:space="preserve">If a secret is suspected to be compromised:</w:t>
      </w:r>
    </w:p>
    <w:p>
      <w:pPr>
        <w:pStyle w:val="ListParagraph"/>
        <w:numPr>
          <w:ilvl w:val="0"/>
          <w:numId w:val="1"/>
        </w:numPr>
        <w:spacing w:after="100"/>
      </w:pPr>
      <w:r>
        <w:rPr>
          <w:color w:val="495057"/>
          <w:sz w:val="22"/>
          <w:szCs w:val="22"/>
        </w:rPr>
        <w:t xml:space="preserve">Supabase JWT Secret: Supabase Dashboard → Settings → API → Regenerate JWT Secret</w:t>
      </w:r>
    </w:p>
    <w:p>
      <w:pPr>
        <w:pStyle w:val="ListParagraph"/>
        <w:numPr>
          <w:ilvl w:val="0"/>
          <w:numId w:val="1"/>
        </w:numPr>
        <w:spacing w:after="100"/>
      </w:pPr>
      <w:r>
        <w:rPr>
          <w:color w:val="495057"/>
          <w:sz w:val="22"/>
          <w:szCs w:val="22"/>
        </w:rPr>
        <w:t xml:space="preserve">Resend API Key: Resend Dashboard → API Keys → Revoke and generate new key</w:t>
      </w:r>
    </w:p>
    <w:p>
      <w:pPr>
        <w:pStyle w:val="ListParagraph"/>
        <w:numPr>
          <w:ilvl w:val="0"/>
          <w:numId w:val="1"/>
        </w:numPr>
        <w:spacing w:after="100"/>
      </w:pPr>
      <w:r>
        <w:rPr>
          <w:color w:val="495057"/>
          <w:sz w:val="22"/>
          <w:szCs w:val="22"/>
        </w:rPr>
        <w:t xml:space="preserve">Google OAuth Secret: Google Cloud Console → Credentials → Regenerate secret</w:t>
      </w:r>
    </w:p>
    <w:p>
      <w:pPr>
        <w:pStyle w:val="ListParagraph"/>
        <w:numPr>
          <w:ilvl w:val="0"/>
          <w:numId w:val="1"/>
        </w:numPr>
        <w:spacing w:after="100"/>
      </w:pPr>
      <w:r>
        <w:rPr>
          <w:color w:val="495057"/>
          <w:sz w:val="22"/>
          <w:szCs w:val="22"/>
        </w:rPr>
        <w:t xml:space="preserve">After rotation: Update .env.local locally and update Netlify environment variables</w:t>
      </w:r>
    </w:p>
    <w:p>
      <w:pPr>
        <w:pStyle w:val="ListParagraph"/>
        <w:numPr>
          <w:ilvl w:val="0"/>
          <w:numId w:val="1"/>
        </w:numPr>
        <w:spacing w:after="100"/>
      </w:pPr>
      <w:r>
        <w:rPr>
          <w:color w:val="495057"/>
          <w:sz w:val="22"/>
          <w:szCs w:val="22"/>
        </w:rPr>
        <w:t xml:space="preserve">Redeploy all environments immediately after rotation</w:t>
      </w:r>
    </w:p>
    <w:p>
      <w:r>
        <w:br w:type="page"/>
      </w:r>
    </w:p>
    <w:p>
      <w:pPr>
        <w:pStyle w:val="Heading1"/>
        <w:spacing w:before="600" w:after="240"/>
      </w:pPr>
      <w:r>
        <w:rPr>
          <w:b/>
          <w:bCs/>
          <w:color w:val="1f3a6e"/>
          <w:sz w:val="36"/>
          <w:szCs w:val="36"/>
        </w:rPr>
        <w:t xml:space="preserve">6. Privacy &amp; Compliance (POPIA)</w:t>
      </w:r>
    </w:p>
    <w:p>
      <w:pPr>
        <w:pBdr>
          <w:bottom w:val="single" w:color="1f3a6e" w:sz="6"/>
        </w:pBdr>
        <w:spacing w:after="240"/>
      </w:pPr>
    </w:p>
    <w:p>
      <w:pPr>
        <w:spacing w:after="140"/>
      </w:pPr>
      <w:r>
        <w:rPr>
          <w:color w:val="495057"/>
          <w:sz w:val="22"/>
          <w:szCs w:val="22"/>
        </w:rPr>
        <w:t xml:space="preserve">The EdMeCa Academy platform operates under the Protection of Personal Information Act (POPIA). The following controls are in place:</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tblGrid>
      <w:tr>
        <w:trPr>
          <w:tblHeader/>
        </w:trPr>
        <w:tc>
          <w:tcPr>
            <w:tcW w:type="pct" w:w="33%"/>
            <w:shd w:color="1f3a6e" w:val="solid"/>
          </w:tcPr>
          <w:p>
            <w:pPr>
              <w:spacing w:after="0"/>
            </w:pPr>
            <w:r>
              <w:rPr>
                <w:b/>
                <w:bCs/>
                <w:color w:val="FFFFFF"/>
                <w:sz w:val="20"/>
                <w:szCs w:val="20"/>
              </w:rPr>
              <w:t xml:space="preserve">POPIA Requirement</w:t>
            </w:r>
          </w:p>
        </w:tc>
        <w:tc>
          <w:tcPr>
            <w:tcW w:type="pct" w:w="33%"/>
            <w:shd w:color="1f3a6e" w:val="solid"/>
          </w:tcPr>
          <w:p>
            <w:pPr>
              <w:spacing w:after="0"/>
            </w:pPr>
            <w:r>
              <w:rPr>
                <w:b/>
                <w:bCs/>
                <w:color w:val="FFFFFF"/>
                <w:sz w:val="20"/>
                <w:szCs w:val="20"/>
              </w:rPr>
              <w:t xml:space="preserve">Implementation</w:t>
            </w:r>
          </w:p>
        </w:tc>
        <w:tc>
          <w:tcPr>
            <w:tcW w:type="pct" w:w="33%"/>
            <w:shd w:color="1f3a6e" w:val="solid"/>
          </w:tcPr>
          <w:p>
            <w:pPr>
              <w:spacing w:after="0"/>
            </w:pPr>
            <w:r>
              <w:rPr>
                <w:b/>
                <w:bCs/>
                <w:color w:val="FFFFFF"/>
                <w:sz w:val="20"/>
                <w:szCs w:val="20"/>
              </w:rPr>
              <w:t xml:space="preserve">Status</w:t>
            </w:r>
          </w:p>
        </w:tc>
      </w:tr>
      <w:tr>
        <w:tc>
          <w:tcPr>
            <w:tcW w:type="pct" w:w="33%"/>
            <w:shd w:color="F8F9FA" w:val="solid"/>
          </w:tcPr>
          <w:p>
            <w:pPr>
              <w:spacing w:after="0"/>
            </w:pPr>
            <w:r>
              <w:rPr>
                <w:b w:val="false"/>
                <w:bCs w:val="false"/>
                <w:color w:val="495057"/>
                <w:sz w:val="20"/>
                <w:szCs w:val="20"/>
              </w:rPr>
              <w:t xml:space="preserve">Lawful processing</w:t>
            </w:r>
          </w:p>
        </w:tc>
        <w:tc>
          <w:tcPr>
            <w:tcW w:type="pct" w:w="33%"/>
            <w:shd w:color="F8F9FA" w:val="solid"/>
          </w:tcPr>
          <w:p>
            <w:pPr>
              <w:spacing w:after="0"/>
            </w:pPr>
            <w:r>
              <w:rPr>
                <w:b w:val="false"/>
                <w:bCs w:val="false"/>
                <w:color w:val="495057"/>
                <w:sz w:val="20"/>
                <w:szCs w:val="20"/>
              </w:rPr>
              <w:t xml:space="preserve">Data collected only for stated purpose (education platform)</w:t>
            </w:r>
          </w:p>
        </w:tc>
        <w:tc>
          <w:tcPr>
            <w:tcW w:type="pct" w:w="33%"/>
            <w:shd w:color="F8F9FA" w:val="solid"/>
          </w:tcPr>
          <w:p>
            <w:pPr>
              <w:spacing w:after="0"/>
            </w:pPr>
            <w:r>
              <w:rPr>
                <w:b w:val="false"/>
                <w:bCs w:val="false"/>
                <w:color w:val="495057"/>
                <w:sz w:val="20"/>
                <w:szCs w:val="20"/>
              </w:rPr>
              <w:t xml:space="preserve">Compliant</w:t>
            </w:r>
          </w:p>
        </w:tc>
      </w:tr>
      <w:tr>
        <w:tc>
          <w:tcPr>
            <w:tcW w:type="pct" w:w="33%"/>
            <w:shd w:color="FFFFFF" w:val="solid"/>
          </w:tcPr>
          <w:p>
            <w:pPr>
              <w:spacing w:after="0"/>
            </w:pPr>
            <w:r>
              <w:rPr>
                <w:b w:val="false"/>
                <w:bCs w:val="false"/>
                <w:color w:val="495057"/>
                <w:sz w:val="20"/>
                <w:szCs w:val="20"/>
              </w:rPr>
              <w:t xml:space="preserve">Consent</w:t>
            </w:r>
          </w:p>
        </w:tc>
        <w:tc>
          <w:tcPr>
            <w:tcW w:type="pct" w:w="33%"/>
            <w:shd w:color="FFFFFF" w:val="solid"/>
          </w:tcPr>
          <w:p>
            <w:pPr>
              <w:spacing w:after="0"/>
            </w:pPr>
            <w:r>
              <w:rPr>
                <w:b w:val="false"/>
                <w:bCs w:val="false"/>
                <w:color w:val="495057"/>
                <w:sz w:val="20"/>
                <w:szCs w:val="20"/>
              </w:rPr>
              <w:t xml:space="preserve">Users accept terms on signup</w:t>
            </w:r>
          </w:p>
        </w:tc>
        <w:tc>
          <w:tcPr>
            <w:tcW w:type="pct" w:w="33%"/>
            <w:shd w:color="FFFFFF" w:val="solid"/>
          </w:tcPr>
          <w:p>
            <w:pPr>
              <w:spacing w:after="0"/>
            </w:pPr>
            <w:r>
              <w:rPr>
                <w:b w:val="false"/>
                <w:bCs w:val="false"/>
                <w:color w:val="495057"/>
                <w:sz w:val="20"/>
                <w:szCs w:val="20"/>
              </w:rPr>
              <w:t xml:space="preserve">Compliant</w:t>
            </w:r>
          </w:p>
        </w:tc>
      </w:tr>
      <w:tr>
        <w:tc>
          <w:tcPr>
            <w:tcW w:type="pct" w:w="33%"/>
            <w:shd w:color="F8F9FA" w:val="solid"/>
          </w:tcPr>
          <w:p>
            <w:pPr>
              <w:spacing w:after="0"/>
            </w:pPr>
            <w:r>
              <w:rPr>
                <w:b w:val="false"/>
                <w:bCs w:val="false"/>
                <w:color w:val="495057"/>
                <w:sz w:val="20"/>
                <w:szCs w:val="20"/>
              </w:rPr>
              <w:t xml:space="preserve">Data minimisation</w:t>
            </w:r>
          </w:p>
        </w:tc>
        <w:tc>
          <w:tcPr>
            <w:tcW w:type="pct" w:w="33%"/>
            <w:shd w:color="F8F9FA" w:val="solid"/>
          </w:tcPr>
          <w:p>
            <w:pPr>
              <w:spacing w:after="0"/>
            </w:pPr>
            <w:r>
              <w:rPr>
                <w:b w:val="false"/>
                <w:bCs w:val="false"/>
                <w:color w:val="495057"/>
                <w:sz w:val="20"/>
                <w:szCs w:val="20"/>
              </w:rPr>
              <w:t xml:space="preserve">Only name, email, and tool data collected</w:t>
            </w:r>
          </w:p>
        </w:tc>
        <w:tc>
          <w:tcPr>
            <w:tcW w:type="pct" w:w="33%"/>
            <w:shd w:color="F8F9FA" w:val="solid"/>
          </w:tcPr>
          <w:p>
            <w:pPr>
              <w:spacing w:after="0"/>
            </w:pPr>
            <w:r>
              <w:rPr>
                <w:b w:val="false"/>
                <w:bCs w:val="false"/>
                <w:color w:val="495057"/>
                <w:sz w:val="20"/>
                <w:szCs w:val="20"/>
              </w:rPr>
              <w:t xml:space="preserve">Compliant</w:t>
            </w:r>
          </w:p>
        </w:tc>
      </w:tr>
      <w:tr>
        <w:tc>
          <w:tcPr>
            <w:tcW w:type="pct" w:w="33%"/>
            <w:shd w:color="FFFFFF" w:val="solid"/>
          </w:tcPr>
          <w:p>
            <w:pPr>
              <w:spacing w:after="0"/>
            </w:pPr>
            <w:r>
              <w:rPr>
                <w:b w:val="false"/>
                <w:bCs w:val="false"/>
                <w:color w:val="495057"/>
                <w:sz w:val="20"/>
                <w:szCs w:val="20"/>
              </w:rPr>
              <w:t xml:space="preserve">Data subject rights</w:t>
            </w:r>
          </w:p>
        </w:tc>
        <w:tc>
          <w:tcPr>
            <w:tcW w:type="pct" w:w="33%"/>
            <w:shd w:color="FFFFFF" w:val="solid"/>
          </w:tcPr>
          <w:p>
            <w:pPr>
              <w:spacing w:after="0"/>
            </w:pPr>
            <w:r>
              <w:rPr>
                <w:b w:val="false"/>
                <w:bCs w:val="false"/>
                <w:color w:val="495057"/>
                <w:sz w:val="20"/>
                <w:szCs w:val="20"/>
              </w:rPr>
              <w:t xml:space="preserve">Profile deletion available; admin can delete on request</w:t>
            </w:r>
          </w:p>
        </w:tc>
        <w:tc>
          <w:tcPr>
            <w:tcW w:type="pct" w:w="33%"/>
            <w:shd w:color="FFFFFF" w:val="solid"/>
          </w:tcPr>
          <w:p>
            <w:pPr>
              <w:spacing w:after="0"/>
            </w:pPr>
            <w:r>
              <w:rPr>
                <w:b w:val="false"/>
                <w:bCs w:val="false"/>
                <w:color w:val="495057"/>
                <w:sz w:val="20"/>
                <w:szCs w:val="20"/>
              </w:rPr>
              <w:t xml:space="preserve">Compliant</w:t>
            </w:r>
          </w:p>
        </w:tc>
      </w:tr>
      <w:tr>
        <w:tc>
          <w:tcPr>
            <w:tcW w:type="pct" w:w="33%"/>
            <w:shd w:color="F8F9FA" w:val="solid"/>
          </w:tcPr>
          <w:p>
            <w:pPr>
              <w:spacing w:after="0"/>
            </w:pPr>
            <w:r>
              <w:rPr>
                <w:b w:val="false"/>
                <w:bCs w:val="false"/>
                <w:color w:val="495057"/>
                <w:sz w:val="20"/>
                <w:szCs w:val="20"/>
              </w:rPr>
              <w:t xml:space="preserve">Security safeguards</w:t>
            </w:r>
          </w:p>
        </w:tc>
        <w:tc>
          <w:tcPr>
            <w:tcW w:type="pct" w:w="33%"/>
            <w:shd w:color="F8F9FA" w:val="solid"/>
          </w:tcPr>
          <w:p>
            <w:pPr>
              <w:spacing w:after="0"/>
            </w:pPr>
            <w:r>
              <w:rPr>
                <w:b w:val="false"/>
                <w:bCs w:val="false"/>
                <w:color w:val="495057"/>
                <w:sz w:val="20"/>
                <w:szCs w:val="20"/>
              </w:rPr>
              <w:t xml:space="preserve">RLS, HTTPS, JWT auth, HSTS headers</w:t>
            </w:r>
          </w:p>
        </w:tc>
        <w:tc>
          <w:tcPr>
            <w:tcW w:type="pct" w:w="33%"/>
            <w:shd w:color="F8F9FA" w:val="solid"/>
          </w:tcPr>
          <w:p>
            <w:pPr>
              <w:spacing w:after="0"/>
            </w:pPr>
            <w:r>
              <w:rPr>
                <w:b w:val="false"/>
                <w:bCs w:val="false"/>
                <w:color w:val="495057"/>
                <w:sz w:val="20"/>
                <w:szCs w:val="20"/>
              </w:rPr>
              <w:t xml:space="preserve">Compliant</w:t>
            </w:r>
          </w:p>
        </w:tc>
      </w:tr>
      <w:tr>
        <w:tc>
          <w:tcPr>
            <w:tcW w:type="pct" w:w="33%"/>
            <w:shd w:color="FFFFFF" w:val="solid"/>
          </w:tcPr>
          <w:p>
            <w:pPr>
              <w:spacing w:after="0"/>
            </w:pPr>
            <w:r>
              <w:rPr>
                <w:b w:val="false"/>
                <w:bCs w:val="false"/>
                <w:color w:val="495057"/>
                <w:sz w:val="20"/>
                <w:szCs w:val="20"/>
              </w:rPr>
              <w:t xml:space="preserve">Breach notification</w:t>
            </w:r>
          </w:p>
        </w:tc>
        <w:tc>
          <w:tcPr>
            <w:tcW w:type="pct" w:w="33%"/>
            <w:shd w:color="FFFFFF" w:val="solid"/>
          </w:tcPr>
          <w:p>
            <w:pPr>
              <w:spacing w:after="0"/>
            </w:pPr>
            <w:r>
              <w:rPr>
                <w:b w:val="false"/>
                <w:bCs w:val="false"/>
                <w:color w:val="495057"/>
                <w:sz w:val="20"/>
                <w:szCs w:val="20"/>
              </w:rPr>
              <w:t xml:space="preserve">Incident response procedure defined (Section 5)</w:t>
            </w:r>
          </w:p>
        </w:tc>
        <w:tc>
          <w:tcPr>
            <w:tcW w:type="pct" w:w="33%"/>
            <w:shd w:color="FFFFFF" w:val="solid"/>
          </w:tcPr>
          <w:p>
            <w:pPr>
              <w:spacing w:after="0"/>
            </w:pPr>
            <w:r>
              <w:rPr>
                <w:b w:val="false"/>
                <w:bCs w:val="false"/>
                <w:color w:val="495057"/>
                <w:sz w:val="20"/>
                <w:szCs w:val="20"/>
              </w:rPr>
              <w:t xml:space="preserve">Compliant</w:t>
            </w:r>
          </w:p>
        </w:tc>
      </w:tr>
      <w:tr>
        <w:tc>
          <w:tcPr>
            <w:tcW w:type="pct" w:w="33%"/>
            <w:shd w:color="F8F9FA" w:val="solid"/>
          </w:tcPr>
          <w:p>
            <w:pPr>
              <w:spacing w:after="0"/>
            </w:pPr>
            <w:r>
              <w:rPr>
                <w:b w:val="false"/>
                <w:bCs w:val="false"/>
                <w:color w:val="495057"/>
                <w:sz w:val="20"/>
                <w:szCs w:val="20"/>
              </w:rPr>
              <w:t xml:space="preserve">Data retention</w:t>
            </w:r>
          </w:p>
        </w:tc>
        <w:tc>
          <w:tcPr>
            <w:tcW w:type="pct" w:w="33%"/>
            <w:shd w:color="F8F9FA" w:val="solid"/>
          </w:tcPr>
          <w:p>
            <w:pPr>
              <w:spacing w:after="0"/>
            </w:pPr>
            <w:r>
              <w:rPr>
                <w:b w:val="false"/>
                <w:bCs w:val="false"/>
                <w:color w:val="495057"/>
                <w:sz w:val="20"/>
                <w:szCs w:val="20"/>
              </w:rPr>
              <w:t xml:space="preserve">Contact data retained for business operations</w:t>
            </w:r>
          </w:p>
        </w:tc>
        <w:tc>
          <w:tcPr>
            <w:tcW w:type="pct" w:w="33%"/>
            <w:shd w:color="F8F9FA" w:val="solid"/>
          </w:tcPr>
          <w:p>
            <w:pPr>
              <w:spacing w:after="0"/>
            </w:pPr>
            <w:r>
              <w:rPr>
                <w:b w:val="false"/>
                <w:bCs w:val="false"/>
                <w:color w:val="495057"/>
                <w:sz w:val="20"/>
                <w:szCs w:val="20"/>
              </w:rPr>
              <w:t xml:space="preserve">Review annually</w:t>
            </w:r>
          </w:p>
        </w:tc>
      </w:tr>
    </w:tbl>
    <w:p>
      <w:pPr>
        <w:pStyle w:val="Heading1"/>
        <w:spacing w:before="600" w:after="240"/>
      </w:pPr>
      <w:r>
        <w:rPr>
          <w:b/>
          <w:bCs/>
          <w:color w:val="1f3a6e"/>
          <w:sz w:val="36"/>
          <w:szCs w:val="36"/>
        </w:rPr>
        <w:t xml:space="preserve">7. Access Control Matrix</w:t>
      </w:r>
    </w:p>
    <w:p>
      <w:pPr>
        <w:pBdr>
          <w:bottom w:val="single" w:color="1f3a6e" w:sz="6"/>
        </w:pBdr>
        <w:spacing w:after="24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gridCol w:w="100"/>
      </w:tblGrid>
      <w:tr>
        <w:trPr>
          <w:tblHeader/>
        </w:trPr>
        <w:tc>
          <w:tcPr>
            <w:tcW w:type="pct" w:w="20%"/>
            <w:shd w:color="1f3a6e" w:val="solid"/>
          </w:tcPr>
          <w:p>
            <w:pPr>
              <w:spacing w:after="0"/>
            </w:pPr>
            <w:r>
              <w:rPr>
                <w:b/>
                <w:bCs/>
                <w:color w:val="FFFFFF"/>
                <w:sz w:val="20"/>
                <w:szCs w:val="20"/>
              </w:rPr>
              <w:t xml:space="preserve">Role</w:t>
            </w:r>
          </w:p>
        </w:tc>
        <w:tc>
          <w:tcPr>
            <w:tcW w:type="pct" w:w="20%"/>
            <w:shd w:color="1f3a6e" w:val="solid"/>
          </w:tcPr>
          <w:p>
            <w:pPr>
              <w:spacing w:after="0"/>
            </w:pPr>
            <w:r>
              <w:rPr>
                <w:b/>
                <w:bCs/>
                <w:color w:val="FFFFFF"/>
                <w:sz w:val="20"/>
                <w:szCs w:val="20"/>
              </w:rPr>
              <w:t xml:space="preserve">Platform Access</w:t>
            </w:r>
          </w:p>
        </w:tc>
        <w:tc>
          <w:tcPr>
            <w:tcW w:type="pct" w:w="20%"/>
            <w:shd w:color="1f3a6e" w:val="solid"/>
          </w:tcPr>
          <w:p>
            <w:pPr>
              <w:spacing w:after="0"/>
            </w:pPr>
            <w:r>
              <w:rPr>
                <w:b/>
                <w:bCs/>
                <w:color w:val="FFFFFF"/>
                <w:sz w:val="20"/>
                <w:szCs w:val="20"/>
              </w:rPr>
              <w:t xml:space="preserve">Supabase Access</w:t>
            </w:r>
          </w:p>
        </w:tc>
        <w:tc>
          <w:tcPr>
            <w:tcW w:type="pct" w:w="20%"/>
            <w:shd w:color="1f3a6e" w:val="solid"/>
          </w:tcPr>
          <w:p>
            <w:pPr>
              <w:spacing w:after="0"/>
            </w:pPr>
            <w:r>
              <w:rPr>
                <w:b/>
                <w:bCs/>
                <w:color w:val="FFFFFF"/>
                <w:sz w:val="20"/>
                <w:szCs w:val="20"/>
              </w:rPr>
              <w:t xml:space="preserve">Netlify Access</w:t>
            </w:r>
          </w:p>
        </w:tc>
        <w:tc>
          <w:tcPr>
            <w:tcW w:type="pct" w:w="20%"/>
            <w:shd w:color="1f3a6e" w:val="solid"/>
          </w:tcPr>
          <w:p>
            <w:pPr>
              <w:spacing w:after="0"/>
            </w:pPr>
            <w:r>
              <w:rPr>
                <w:b/>
                <w:bCs/>
                <w:color w:val="FFFFFF"/>
                <w:sz w:val="20"/>
                <w:szCs w:val="20"/>
              </w:rPr>
              <w:t xml:space="preserve">Source Code</w:t>
            </w:r>
          </w:p>
        </w:tc>
      </w:tr>
      <w:tr>
        <w:tc>
          <w:tcPr>
            <w:tcW w:type="pct" w:w="20%"/>
            <w:shd w:color="F8F9FA" w:val="solid"/>
          </w:tcPr>
          <w:p>
            <w:pPr>
              <w:spacing w:after="0"/>
            </w:pPr>
            <w:r>
              <w:rPr>
                <w:b w:val="false"/>
                <w:bCs w:val="false"/>
                <w:color w:val="495057"/>
                <w:sz w:val="20"/>
                <w:szCs w:val="20"/>
              </w:rPr>
              <w:t xml:space="preserve">End User</w:t>
            </w:r>
          </w:p>
        </w:tc>
        <w:tc>
          <w:tcPr>
            <w:tcW w:type="pct" w:w="20%"/>
            <w:shd w:color="F8F9FA" w:val="solid"/>
          </w:tcPr>
          <w:p>
            <w:pPr>
              <w:spacing w:after="0"/>
            </w:pPr>
            <w:r>
              <w:rPr>
                <w:b w:val="false"/>
                <w:bCs w:val="false"/>
                <w:color w:val="495057"/>
                <w:sz w:val="20"/>
                <w:szCs w:val="20"/>
              </w:rPr>
              <w:t xml:space="preserve">Portal (own data only)</w:t>
            </w:r>
          </w:p>
        </w:tc>
        <w:tc>
          <w:tcPr>
            <w:tcW w:type="pct" w:w="20%"/>
            <w:shd w:color="F8F9FA" w:val="solid"/>
          </w:tcPr>
          <w:p>
            <w:pPr>
              <w:spacing w:after="0"/>
            </w:pPr>
            <w:r>
              <w:rPr>
                <w:b w:val="false"/>
                <w:bCs w:val="false"/>
                <w:color w:val="495057"/>
                <w:sz w:val="20"/>
                <w:szCs w:val="20"/>
              </w:rPr>
              <w:t xml:space="preserve">None</w:t>
            </w:r>
          </w:p>
        </w:tc>
        <w:tc>
          <w:tcPr>
            <w:tcW w:type="pct" w:w="20%"/>
            <w:shd w:color="F8F9FA" w:val="solid"/>
          </w:tcPr>
          <w:p>
            <w:pPr>
              <w:spacing w:after="0"/>
            </w:pPr>
            <w:r>
              <w:rPr>
                <w:b w:val="false"/>
                <w:bCs w:val="false"/>
                <w:color w:val="495057"/>
                <w:sz w:val="20"/>
                <w:szCs w:val="20"/>
              </w:rPr>
              <w:t xml:space="preserve">None</w:t>
            </w:r>
          </w:p>
        </w:tc>
        <w:tc>
          <w:tcPr>
            <w:tcW w:type="pct" w:w="20%"/>
            <w:shd w:color="F8F9FA" w:val="solid"/>
          </w:tcPr>
          <w:p>
            <w:pPr>
              <w:spacing w:after="0"/>
            </w:pPr>
            <w:r>
              <w:rPr>
                <w:b w:val="false"/>
                <w:bCs w:val="false"/>
                <w:color w:val="495057"/>
                <w:sz w:val="20"/>
                <w:szCs w:val="20"/>
              </w:rPr>
              <w:t xml:space="preserve">None</w:t>
            </w:r>
          </w:p>
        </w:tc>
      </w:tr>
      <w:tr>
        <w:tc>
          <w:tcPr>
            <w:tcW w:type="pct" w:w="20%"/>
            <w:shd w:color="FFFFFF" w:val="solid"/>
          </w:tcPr>
          <w:p>
            <w:pPr>
              <w:spacing w:after="0"/>
            </w:pPr>
            <w:r>
              <w:rPr>
                <w:b w:val="false"/>
                <w:bCs w:val="false"/>
                <w:color w:val="495057"/>
                <w:sz w:val="20"/>
                <w:szCs w:val="20"/>
              </w:rPr>
              <w:t xml:space="preserve">Platform Admin</w:t>
            </w:r>
          </w:p>
        </w:tc>
        <w:tc>
          <w:tcPr>
            <w:tcW w:type="pct" w:w="20%"/>
            <w:shd w:color="FFFFFF" w:val="solid"/>
          </w:tcPr>
          <w:p>
            <w:pPr>
              <w:spacing w:after="0"/>
            </w:pPr>
            <w:r>
              <w:rPr>
                <w:b w:val="false"/>
                <w:bCs w:val="false"/>
                <w:color w:val="495057"/>
                <w:sz w:val="20"/>
                <w:szCs w:val="20"/>
              </w:rPr>
              <w:t xml:space="preserve">All portal + admin</w:t>
            </w:r>
          </w:p>
        </w:tc>
        <w:tc>
          <w:tcPr>
            <w:tcW w:type="pct" w:w="20%"/>
            <w:shd w:color="FFFFFF" w:val="solid"/>
          </w:tcPr>
          <w:p>
            <w:pPr>
              <w:spacing w:after="0"/>
            </w:pPr>
            <w:r>
              <w:rPr>
                <w:b w:val="false"/>
                <w:bCs w:val="false"/>
                <w:color w:val="495057"/>
                <w:sz w:val="20"/>
                <w:szCs w:val="20"/>
              </w:rPr>
              <w:t xml:space="preserve">Dashboard (limited)</w:t>
            </w:r>
          </w:p>
        </w:tc>
        <w:tc>
          <w:tcPr>
            <w:tcW w:type="pct" w:w="20%"/>
            <w:shd w:color="FFFFFF" w:val="solid"/>
          </w:tcPr>
          <w:p>
            <w:pPr>
              <w:spacing w:after="0"/>
            </w:pPr>
            <w:r>
              <w:rPr>
                <w:b w:val="false"/>
                <w:bCs w:val="false"/>
                <w:color w:val="495057"/>
                <w:sz w:val="20"/>
                <w:szCs w:val="20"/>
              </w:rPr>
              <w:t xml:space="preserve">View analytics</w:t>
            </w:r>
          </w:p>
        </w:tc>
        <w:tc>
          <w:tcPr>
            <w:tcW w:type="pct" w:w="20%"/>
            <w:shd w:color="FFFFFF" w:val="solid"/>
          </w:tcPr>
          <w:p>
            <w:pPr>
              <w:spacing w:after="0"/>
            </w:pPr>
            <w:r>
              <w:rPr>
                <w:b w:val="false"/>
                <w:bCs w:val="false"/>
                <w:color w:val="495057"/>
                <w:sz w:val="20"/>
                <w:szCs w:val="20"/>
              </w:rPr>
              <w:t xml:space="preserve">None</w:t>
            </w:r>
          </w:p>
        </w:tc>
      </w:tr>
      <w:tr>
        <w:tc>
          <w:tcPr>
            <w:tcW w:type="pct" w:w="20%"/>
            <w:shd w:color="F8F9FA" w:val="solid"/>
          </w:tcPr>
          <w:p>
            <w:pPr>
              <w:spacing w:after="0"/>
            </w:pPr>
            <w:r>
              <w:rPr>
                <w:b w:val="false"/>
                <w:bCs w:val="false"/>
                <w:color w:val="495057"/>
                <w:sz w:val="20"/>
                <w:szCs w:val="20"/>
              </w:rPr>
              <w:t xml:space="preserve">Developer</w:t>
            </w:r>
          </w:p>
        </w:tc>
        <w:tc>
          <w:tcPr>
            <w:tcW w:type="pct" w:w="20%"/>
            <w:shd w:color="F8F9FA" w:val="solid"/>
          </w:tcPr>
          <w:p>
            <w:pPr>
              <w:spacing w:after="0"/>
            </w:pPr>
            <w:r>
              <w:rPr>
                <w:b w:val="false"/>
                <w:bCs w:val="false"/>
                <w:color w:val="495057"/>
                <w:sz w:val="20"/>
                <w:szCs w:val="20"/>
              </w:rPr>
              <w:t xml:space="preserve">All environments</w:t>
            </w:r>
          </w:p>
        </w:tc>
        <w:tc>
          <w:tcPr>
            <w:tcW w:type="pct" w:w="20%"/>
            <w:shd w:color="F8F9FA" w:val="solid"/>
          </w:tcPr>
          <w:p>
            <w:pPr>
              <w:spacing w:after="0"/>
            </w:pPr>
            <w:r>
              <w:rPr>
                <w:b w:val="false"/>
                <w:bCs w:val="false"/>
                <w:color w:val="495057"/>
                <w:sz w:val="20"/>
                <w:szCs w:val="20"/>
              </w:rPr>
              <w:t xml:space="preserve">Full dashboard</w:t>
            </w:r>
          </w:p>
        </w:tc>
        <w:tc>
          <w:tcPr>
            <w:tcW w:type="pct" w:w="20%"/>
            <w:shd w:color="F8F9FA" w:val="solid"/>
          </w:tcPr>
          <w:p>
            <w:pPr>
              <w:spacing w:after="0"/>
            </w:pPr>
            <w:r>
              <w:rPr>
                <w:b w:val="false"/>
                <w:bCs w:val="false"/>
                <w:color w:val="495057"/>
                <w:sz w:val="20"/>
                <w:szCs w:val="20"/>
              </w:rPr>
              <w:t xml:space="preserve">Full deploy access</w:t>
            </w:r>
          </w:p>
        </w:tc>
        <w:tc>
          <w:tcPr>
            <w:tcW w:type="pct" w:w="20%"/>
            <w:shd w:color="F8F9FA" w:val="solid"/>
          </w:tcPr>
          <w:p>
            <w:pPr>
              <w:spacing w:after="0"/>
            </w:pPr>
            <w:r>
              <w:rPr>
                <w:b w:val="false"/>
                <w:bCs w:val="false"/>
                <w:color w:val="495057"/>
                <w:sz w:val="20"/>
                <w:szCs w:val="20"/>
              </w:rPr>
              <w:t xml:space="preserve">Read + Write</w:t>
            </w:r>
          </w:p>
        </w:tc>
      </w:tr>
      <w:tr>
        <w:tc>
          <w:tcPr>
            <w:tcW w:type="pct" w:w="20%"/>
            <w:shd w:color="FFFFFF" w:val="solid"/>
          </w:tcPr>
          <w:p>
            <w:pPr>
              <w:spacing w:after="0"/>
            </w:pPr>
            <w:r>
              <w:rPr>
                <w:b w:val="false"/>
                <w:bCs w:val="false"/>
                <w:color w:val="495057"/>
                <w:sz w:val="20"/>
                <w:szCs w:val="20"/>
              </w:rPr>
              <w:t xml:space="preserve">Supervisor</w:t>
            </w:r>
          </w:p>
        </w:tc>
        <w:tc>
          <w:tcPr>
            <w:tcW w:type="pct" w:w="20%"/>
            <w:shd w:color="FFFFFF" w:val="solid"/>
          </w:tcPr>
          <w:p>
            <w:pPr>
              <w:spacing w:after="0"/>
            </w:pPr>
            <w:r>
              <w:rPr>
                <w:b w:val="false"/>
                <w:bCs w:val="false"/>
                <w:color w:val="495057"/>
                <w:sz w:val="20"/>
                <w:szCs w:val="20"/>
              </w:rPr>
              <w:t xml:space="preserve">Staging review only</w:t>
            </w:r>
          </w:p>
        </w:tc>
        <w:tc>
          <w:tcPr>
            <w:tcW w:type="pct" w:w="20%"/>
            <w:shd w:color="FFFFFF" w:val="solid"/>
          </w:tcPr>
          <w:p>
            <w:pPr>
              <w:spacing w:after="0"/>
            </w:pPr>
            <w:r>
              <w:rPr>
                <w:b w:val="false"/>
                <w:bCs w:val="false"/>
                <w:color w:val="495057"/>
                <w:sz w:val="20"/>
                <w:szCs w:val="20"/>
              </w:rPr>
              <w:t xml:space="preserve">View only</w:t>
            </w:r>
          </w:p>
        </w:tc>
        <w:tc>
          <w:tcPr>
            <w:tcW w:type="pct" w:w="20%"/>
            <w:shd w:color="FFFFFF" w:val="solid"/>
          </w:tcPr>
          <w:p>
            <w:pPr>
              <w:spacing w:after="0"/>
            </w:pPr>
            <w:r>
              <w:rPr>
                <w:b w:val="false"/>
                <w:bCs w:val="false"/>
                <w:color w:val="495057"/>
                <w:sz w:val="20"/>
                <w:szCs w:val="20"/>
              </w:rPr>
              <w:t xml:space="preserve">View analytics</w:t>
            </w:r>
          </w:p>
        </w:tc>
        <w:tc>
          <w:tcPr>
            <w:tcW w:type="pct" w:w="20%"/>
            <w:shd w:color="FFFFFF" w:val="solid"/>
          </w:tcPr>
          <w:p>
            <w:pPr>
              <w:spacing w:after="0"/>
            </w:pPr>
            <w:r>
              <w:rPr>
                <w:b w:val="false"/>
                <w:bCs w:val="false"/>
                <w:color w:val="495057"/>
                <w:sz w:val="20"/>
                <w:szCs w:val="20"/>
              </w:rPr>
              <w:t xml:space="preserve">Read only</w:t>
            </w:r>
          </w:p>
        </w:tc>
      </w:tr>
    </w:tbl>
    <w:p>
      <w:pPr>
        <w:pStyle w:val="Heading1"/>
        <w:spacing w:before="600" w:after="240"/>
      </w:pPr>
      <w:r>
        <w:rPr>
          <w:b/>
          <w:bCs/>
          <w:color w:val="1f3a6e"/>
          <w:sz w:val="36"/>
          <w:szCs w:val="36"/>
        </w:rPr>
        <w:t xml:space="preserve">8. Security Audit Log</w:t>
      </w:r>
    </w:p>
    <w:p>
      <w:pPr>
        <w:pBdr>
          <w:bottom w:val="single" w:color="1f3a6e" w:sz="6"/>
        </w:pBdr>
        <w:spacing w:after="24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gridCol w:w="100"/>
      </w:tblGrid>
      <w:tr>
        <w:trPr>
          <w:tblHeader/>
        </w:trPr>
        <w:tc>
          <w:tcPr>
            <w:tcW w:type="pct" w:w="20%"/>
            <w:shd w:color="1f3a6e" w:val="solid"/>
          </w:tcPr>
          <w:p>
            <w:pPr>
              <w:spacing w:after="0"/>
            </w:pPr>
            <w:r>
              <w:rPr>
                <w:b/>
                <w:bCs/>
                <w:color w:val="FFFFFF"/>
                <w:sz w:val="20"/>
                <w:szCs w:val="20"/>
              </w:rPr>
              <w:t xml:space="preserve">Audit Date</w:t>
            </w:r>
          </w:p>
        </w:tc>
        <w:tc>
          <w:tcPr>
            <w:tcW w:type="pct" w:w="20%"/>
            <w:shd w:color="1f3a6e" w:val="solid"/>
          </w:tcPr>
          <w:p>
            <w:pPr>
              <w:spacing w:after="0"/>
            </w:pPr>
            <w:r>
              <w:rPr>
                <w:b/>
                <w:bCs/>
                <w:color w:val="FFFFFF"/>
                <w:sz w:val="20"/>
                <w:szCs w:val="20"/>
              </w:rPr>
              <w:t xml:space="preserve">Type</w:t>
            </w:r>
          </w:p>
        </w:tc>
        <w:tc>
          <w:tcPr>
            <w:tcW w:type="pct" w:w="20%"/>
            <w:shd w:color="1f3a6e" w:val="solid"/>
          </w:tcPr>
          <w:p>
            <w:pPr>
              <w:spacing w:after="0"/>
            </w:pPr>
            <w:r>
              <w:rPr>
                <w:b/>
                <w:bCs/>
                <w:color w:val="FFFFFF"/>
                <w:sz w:val="20"/>
                <w:szCs w:val="20"/>
              </w:rPr>
              <w:t xml:space="preserve">Conducted By</w:t>
            </w:r>
          </w:p>
        </w:tc>
        <w:tc>
          <w:tcPr>
            <w:tcW w:type="pct" w:w="20%"/>
            <w:shd w:color="1f3a6e" w:val="solid"/>
          </w:tcPr>
          <w:p>
            <w:pPr>
              <w:spacing w:after="0"/>
            </w:pPr>
            <w:r>
              <w:rPr>
                <w:b/>
                <w:bCs/>
                <w:color w:val="FFFFFF"/>
                <w:sz w:val="20"/>
                <w:szCs w:val="20"/>
              </w:rPr>
              <w:t xml:space="preserve">Result</w:t>
            </w:r>
          </w:p>
        </w:tc>
        <w:tc>
          <w:tcPr>
            <w:tcW w:type="pct" w:w="20%"/>
            <w:shd w:color="1f3a6e" w:val="solid"/>
          </w:tcPr>
          <w:p>
            <w:pPr>
              <w:spacing w:after="0"/>
            </w:pPr>
            <w:r>
              <w:rPr>
                <w:b/>
                <w:bCs/>
                <w:color w:val="FFFFFF"/>
                <w:sz w:val="20"/>
                <w:szCs w:val="20"/>
              </w:rPr>
              <w:t xml:space="preserve">Report</w:t>
            </w:r>
          </w:p>
        </w:tc>
      </w:tr>
      <w:tr>
        <w:tc>
          <w:tcPr>
            <w:tcW w:type="pct" w:w="20%"/>
            <w:shd w:color="F8F9FA" w:val="solid"/>
          </w:tcPr>
          <w:p>
            <w:pPr>
              <w:spacing w:after="0"/>
            </w:pPr>
            <w:r>
              <w:rPr>
                <w:b w:val="false"/>
                <w:bCs w:val="false"/>
                <w:color w:val="495057"/>
                <w:sz w:val="20"/>
                <w:szCs w:val="20"/>
              </w:rPr>
              <w:t xml:space="preserve">04 March 2026</w:t>
            </w:r>
          </w:p>
        </w:tc>
        <w:tc>
          <w:tcPr>
            <w:tcW w:type="pct" w:w="20%"/>
            <w:shd w:color="F8F9FA" w:val="solid"/>
          </w:tcPr>
          <w:p>
            <w:pPr>
              <w:spacing w:after="0"/>
            </w:pPr>
            <w:r>
              <w:rPr>
                <w:b w:val="false"/>
                <w:bCs w:val="false"/>
                <w:color w:val="495057"/>
                <w:sz w:val="20"/>
                <w:szCs w:val="20"/>
              </w:rPr>
              <w:t xml:space="preserve">Automated OWASP Static Analysis</w:t>
            </w:r>
          </w:p>
        </w:tc>
        <w:tc>
          <w:tcPr>
            <w:tcW w:type="pct" w:w="20%"/>
            <w:shd w:color="F8F9FA" w:val="solid"/>
          </w:tcPr>
          <w:p>
            <w:pPr>
              <w:spacing w:after="0"/>
            </w:pPr>
            <w:r>
              <w:rPr>
                <w:b w:val="false"/>
                <w:bCs w:val="false"/>
                <w:color w:val="495057"/>
                <w:sz w:val="20"/>
                <w:szCs w:val="20"/>
              </w:rPr>
              <w:t xml:space="preserve">X4O Consulting</w:t>
            </w:r>
          </w:p>
        </w:tc>
        <w:tc>
          <w:tcPr>
            <w:tcW w:type="pct" w:w="20%"/>
            <w:shd w:color="F8F9FA" w:val="solid"/>
          </w:tcPr>
          <w:p>
            <w:pPr>
              <w:spacing w:after="0"/>
            </w:pPr>
            <w:r>
              <w:rPr>
                <w:b w:val="false"/>
                <w:bCs w:val="false"/>
                <w:color w:val="495057"/>
                <w:sz w:val="20"/>
                <w:szCs w:val="20"/>
              </w:rPr>
              <w:t xml:space="preserve">8 PASS, 2 REVIEW</w:t>
            </w:r>
          </w:p>
        </w:tc>
        <w:tc>
          <w:tcPr>
            <w:tcW w:type="pct" w:w="20%"/>
            <w:shd w:color="F8F9FA" w:val="solid"/>
          </w:tcPr>
          <w:p>
            <w:pPr>
              <w:spacing w:after="0"/>
            </w:pPr>
            <w:r>
              <w:rPr>
                <w:b w:val="false"/>
                <w:bCs w:val="false"/>
                <w:color w:val="495057"/>
                <w:sz w:val="20"/>
                <w:szCs w:val="20"/>
              </w:rPr>
              <w:t xml:space="preserve">EDMECA_Security_Audit_Report_2026-03-04.docx</w:t>
            </w:r>
          </w:p>
        </w:tc>
      </w:tr>
      <w:tr>
        <w:tc>
          <w:tcPr>
            <w:tcW w:type="pct" w:w="20%"/>
            <w:shd w:color="FFFFFF" w:val="solid"/>
          </w:tcPr>
          <w:p>
            <w:pPr>
              <w:spacing w:after="0"/>
            </w:pPr>
            <w:r>
              <w:rPr>
                <w:b w:val="false"/>
                <w:bCs w:val="false"/>
                <w:color w:val="495057"/>
                <w:sz w:val="20"/>
                <w:szCs w:val="20"/>
              </w:rPr>
              <w:t xml:space="preserve">04 March 2026</w:t>
            </w:r>
          </w:p>
        </w:tc>
        <w:tc>
          <w:tcPr>
            <w:tcW w:type="pct" w:w="20%"/>
            <w:shd w:color="FFFFFF" w:val="solid"/>
          </w:tcPr>
          <w:p>
            <w:pPr>
              <w:spacing w:after="0"/>
            </w:pPr>
            <w:r>
              <w:rPr>
                <w:b w:val="false"/>
                <w:bCs w:val="false"/>
                <w:color w:val="495057"/>
                <w:sz w:val="20"/>
                <w:szCs w:val="20"/>
              </w:rPr>
              <w:t xml:space="preserve">Live Endpoint Security Test</w:t>
            </w:r>
          </w:p>
        </w:tc>
        <w:tc>
          <w:tcPr>
            <w:tcW w:type="pct" w:w="20%"/>
            <w:shd w:color="FFFFFF" w:val="solid"/>
          </w:tcPr>
          <w:p>
            <w:pPr>
              <w:spacing w:after="0"/>
            </w:pPr>
            <w:r>
              <w:rPr>
                <w:b w:val="false"/>
                <w:bCs w:val="false"/>
                <w:color w:val="495057"/>
                <w:sz w:val="20"/>
                <w:szCs w:val="20"/>
              </w:rPr>
              <w:t xml:space="preserve">X4O Consulting</w:t>
            </w:r>
          </w:p>
        </w:tc>
        <w:tc>
          <w:tcPr>
            <w:tcW w:type="pct" w:w="20%"/>
            <w:shd w:color="FFFFFF" w:val="solid"/>
          </w:tcPr>
          <w:p>
            <w:pPr>
              <w:spacing w:after="0"/>
            </w:pPr>
            <w:r>
              <w:rPr>
                <w:b w:val="false"/>
                <w:bCs w:val="false"/>
                <w:color w:val="495057"/>
                <w:sz w:val="20"/>
                <w:szCs w:val="20"/>
              </w:rPr>
              <w:t xml:space="preserve">All tests passed</w:t>
            </w:r>
          </w:p>
        </w:tc>
        <w:tc>
          <w:tcPr>
            <w:tcW w:type="pct" w:w="20%"/>
            <w:shd w:color="FFFFFF" w:val="solid"/>
          </w:tcPr>
          <w:p>
            <w:pPr>
              <w:spacing w:after="0"/>
            </w:pPr>
            <w:r>
              <w:rPr>
                <w:b w:val="false"/>
                <w:bCs w:val="false"/>
                <w:color w:val="495057"/>
                <w:sz w:val="20"/>
                <w:szCs w:val="20"/>
              </w:rPr>
              <w:t xml:space="preserve">Included in audit report</w:t>
            </w:r>
          </w:p>
        </w:tc>
      </w:tr>
      <w:tr>
        <w:tc>
          <w:tcPr>
            <w:tcW w:type="pct" w:w="20%"/>
            <w:shd w:color="F8F9FA" w:val="solid"/>
          </w:tcPr>
          <w:p>
            <w:pPr>
              <w:spacing w:after="0"/>
            </w:pPr>
            <w:r>
              <w:rPr>
                <w:b w:val="false"/>
                <w:bCs w:val="false"/>
                <w:color w:val="495057"/>
                <w:sz w:val="20"/>
                <w:szCs w:val="20"/>
              </w:rPr>
              <w:t xml:space="preserve">Ongoing</w:t>
            </w:r>
          </w:p>
        </w:tc>
        <w:tc>
          <w:tcPr>
            <w:tcW w:type="pct" w:w="20%"/>
            <w:shd w:color="F8F9FA" w:val="solid"/>
          </w:tcPr>
          <w:p>
            <w:pPr>
              <w:spacing w:after="0"/>
            </w:pPr>
            <w:r>
              <w:rPr>
                <w:b w:val="false"/>
                <w:bCs w:val="false"/>
                <w:color w:val="495057"/>
                <w:sz w:val="20"/>
                <w:szCs w:val="20"/>
              </w:rPr>
              <w:t xml:space="preserve">npm audit (monthly)</w:t>
            </w:r>
          </w:p>
        </w:tc>
        <w:tc>
          <w:tcPr>
            <w:tcW w:type="pct" w:w="20%"/>
            <w:shd w:color="F8F9FA" w:val="solid"/>
          </w:tcPr>
          <w:p>
            <w:pPr>
              <w:spacing w:after="0"/>
            </w:pPr>
            <w:r>
              <w:rPr>
                <w:b w:val="false"/>
                <w:bCs w:val="false"/>
                <w:color w:val="495057"/>
                <w:sz w:val="20"/>
                <w:szCs w:val="20"/>
              </w:rPr>
              <w:t xml:space="preserve">Dev Team</w:t>
            </w:r>
          </w:p>
        </w:tc>
        <w:tc>
          <w:tcPr>
            <w:tcW w:type="pct" w:w="20%"/>
            <w:shd w:color="F8F9FA" w:val="solid"/>
          </w:tcPr>
          <w:p>
            <w:pPr>
              <w:spacing w:after="0"/>
            </w:pPr>
            <w:r>
              <w:rPr>
                <w:b w:val="false"/>
                <w:bCs w:val="false"/>
                <w:color w:val="495057"/>
                <w:sz w:val="20"/>
                <w:szCs w:val="20"/>
              </w:rPr>
              <w:t xml:space="preserve">Monitored</w:t>
            </w:r>
          </w:p>
        </w:tc>
        <w:tc>
          <w:tcPr>
            <w:tcW w:type="pct" w:w="20%"/>
            <w:shd w:color="F8F9FA" w:val="solid"/>
          </w:tcPr>
          <w:p>
            <w:pPr>
              <w:spacing w:after="0"/>
            </w:pPr>
            <w:r>
              <w:rPr>
                <w:b w:val="false"/>
                <w:bCs w:val="false"/>
                <w:color w:val="495057"/>
                <w:sz w:val="20"/>
                <w:szCs w:val="20"/>
              </w:rPr>
              <w:t xml:space="preserve">Inline Smartsheet updates</w:t>
            </w:r>
          </w:p>
        </w:tc>
      </w:tr>
    </w:tbl>
    <w:p>
      <w:pPr>
        <w:shd w:color="EEF2FF" w:val="solid"/>
        <w:spacing w:before="160" w:after="200"/>
        <w:ind w:left="240" w:right="240"/>
      </w:pPr>
      <w:r>
        <w:rPr>
          <w:b/>
          <w:bCs/>
          <w:color w:val="1f3a6e"/>
          <w:sz w:val="22"/>
          <w:szCs w:val="22"/>
        </w:rPr>
        <w:t xml:space="preserve">Next scheduled security review: June 2026 (quarterly). Schedule a penetration test for the pre-launch review.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Documentation — EdMeCa Academy</dc:title>
  <dc:creator>X4O Consulting / EdMeCa Academy</dc:creator>
  <cp:lastModifiedBy>Un-named</cp:lastModifiedBy>
  <cp:revision>1</cp:revision>
  <dcterms:created xsi:type="dcterms:W3CDTF">2026-03-20T09:12:19.132Z</dcterms:created>
  <dcterms:modified xsi:type="dcterms:W3CDTF">2026-03-20T09:12:19.132Z</dcterms:modified>
</cp:coreProperties>
</file>

<file path=docProps/custom.xml><?xml version="1.0" encoding="utf-8"?>
<Properties xmlns="http://schemas.openxmlformats.org/officeDocument/2006/custom-properties" xmlns:vt="http://schemas.openxmlformats.org/officeDocument/2006/docPropsVTypes"/>
</file>