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00"/>
        <w:jc w:val="center"/>
      </w:pPr>
      <w:r>
        <w:rPr>
          <w:b/>
          <w:bCs/>
          <w:color w:val="1f3a6e"/>
          <w:sz w:val="48"/>
          <w:szCs w:val="48"/>
        </w:rPr>
        <w:t xml:space="preserve">EDMECA DIGITAL ACADEMY</w:t>
      </w:r>
    </w:p>
    <w:p>
      <w:pPr>
        <w:spacing w:after="200"/>
        <w:jc w:val="center"/>
      </w:pPr>
      <w:r>
        <w:rPr>
          <w:b/>
          <w:bCs/>
          <w:color w:val="1f3a6e"/>
          <w:sz w:val="36"/>
          <w:szCs w:val="36"/>
        </w:rPr>
        <w:t xml:space="preserve">Security Audit Report</w:t>
      </w:r>
    </w:p>
    <w:p>
      <w:pPr>
        <w:spacing w:after="100"/>
        <w:jc w:val="center"/>
      </w:pPr>
      <w:r>
        <w:rPr>
          <w:color w:val="555555"/>
          <w:sz w:val="24"/>
          <w:szCs w:val="24"/>
        </w:rPr>
        <w:t xml:space="preserve">Automated Security Assessment</w:t>
      </w:r>
    </w:p>
    <w:p>
      <w:pPr>
        <w:spacing w:after="100"/>
        <w:jc w:val="center"/>
      </w:pPr>
      <w:r>
        <w:rPr>
          <w:color w:val="555555"/>
          <w:sz w:val="22"/>
          <w:szCs w:val="22"/>
        </w:rPr>
        <w:t xml:space="preserve">Date: 04 March 2026</w:t>
      </w:r>
    </w:p>
    <w:p>
      <w:pPr>
        <w:spacing w:after="100"/>
        <w:jc w:val="center"/>
      </w:pPr>
      <w:r>
        <w:rPr>
          <w:color w:val="555555"/>
          <w:sz w:val="22"/>
          <w:szCs w:val="22"/>
        </w:rPr>
        <w:t xml:space="preserve">Prepared for: Raymond Crown (Supervisor)</w:t>
      </w:r>
    </w:p>
    <w:p>
      <w:pPr>
        <w:spacing w:after="600"/>
        <w:jc w:val="center"/>
      </w:pPr>
      <w:r>
        <w:rPr>
          <w:color w:val="555555"/>
          <w:sz w:val="22"/>
          <w:szCs w:val="22"/>
        </w:rPr>
        <w:t xml:space="preserve">Prepared by: EDMECA Development Team / X4O Consulting</w:t>
      </w:r>
    </w:p>
    <w:p>
      <w:r>
        <w:br w:type="page"/>
      </w:r>
    </w:p>
    <w:p>
      <w:pPr>
        <w:pStyle w:val="Heading1"/>
        <w:spacing w:before="400" w:after="200"/>
        <w:rPr>
          <w:b/>
          <w:bCs/>
          <w:color w:val="1f3a6e"/>
        </w:rPr>
      </w:pPr>
      <w:r>
        <w:t xml:space="preserve">1. Executive Summary</w:t>
      </w:r>
    </w:p>
    <w:p>
      <w:pPr>
        <w:pBdr>
          <w:bottom w:val="single" w:color="1f3a6e" w:sz="6"/>
        </w:pBdr>
        <w:spacing w:after="200"/>
      </w:pPr>
    </w:p>
    <w:p>
      <w:pPr>
        <w:spacing w:after="120"/>
      </w:pPr>
      <w:r>
        <w:t xml:space="preserve">This report documents the results of an automated security assessment conducted on the EDMECA Digital Academy web application on 04 March 2026. The assessment covered the client-side React/TypeScript application, the Vercel serverless AI API function, Netlify Functions, and the Supabase database integration layer.</w:t>
      </w:r>
    </w:p>
    <w:p>
      <w:pPr>
        <w:spacing w:after="120"/>
      </w:pPr>
      <w:r>
        <w:t xml:space="preserve">The assessment targeted the following vulnerability categories aligned with the OWASP Top 10 (2021 edition): injection (XSS, SQL), sensitive data exposure, broken access control, security misconfiguration, vulnerable dependencies, insecure transport, and authentication failures.</w:t>
      </w:r>
    </w:p>
    <w:p>
      <w:pP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40%"/>
            <w:shd w:color="1f3a6e" w:val="solid"/>
          </w:tcPr>
          <w:p>
            <w:r>
              <w:rPr>
                <w:b/>
                <w:bCs/>
                <w:color w:val="FFFFFF"/>
                <w:sz w:val="18"/>
                <w:szCs w:val="18"/>
              </w:rPr>
              <w:t xml:space="preserve">Metric</w:t>
            </w:r>
          </w:p>
        </w:tc>
        <w:tc>
          <w:tcPr>
            <w:tcW w:type="pct" w:w="60%"/>
            <w:shd w:color="1f3a6e" w:val="solid"/>
          </w:tcPr>
          <w:p>
            <w:r>
              <w:rPr>
                <w:b/>
                <w:bCs/>
                <w:color w:val="FFFFFF"/>
                <w:sz w:val="18"/>
                <w:szCs w:val="18"/>
              </w:rPr>
              <w:t xml:space="preserve">Result</w:t>
            </w:r>
          </w:p>
        </w:tc>
      </w:tr>
      <w:tr>
        <w:tc>
          <w:tcPr>
            <w:tcW w:type="pct" w:w="40%"/>
            <w:shd w:color="F5F5F5" w:val="solid"/>
          </w:tcPr>
          <w:p>
            <w:r>
              <w:rPr>
                <w:sz w:val="18"/>
                <w:szCs w:val="18"/>
              </w:rPr>
              <w:t xml:space="preserve">Total tests executed</w:t>
            </w:r>
          </w:p>
        </w:tc>
        <w:tc>
          <w:tcPr>
            <w:tcW w:type="pct" w:w="60%"/>
            <w:shd w:color="F5F5F5" w:val="solid"/>
          </w:tcPr>
          <w:p>
            <w:r>
              <w:rPr>
                <w:sz w:val="18"/>
                <w:szCs w:val="18"/>
              </w:rPr>
              <w:t xml:space="preserve">10</w:t>
            </w:r>
          </w:p>
        </w:tc>
      </w:tr>
      <w:tr>
        <w:tc>
          <w:tcPr>
            <w:tcW w:type="pct" w:w="40%"/>
            <w:shd w:color="FFFFFF" w:val="solid"/>
          </w:tcPr>
          <w:p>
            <w:r>
              <w:rPr>
                <w:sz w:val="18"/>
                <w:szCs w:val="18"/>
              </w:rPr>
              <w:t xml:space="preserve">Tests passed</w:t>
            </w:r>
          </w:p>
        </w:tc>
        <w:tc>
          <w:tcPr>
            <w:tcW w:type="pct" w:w="60%"/>
            <w:shd w:color="FFFFFF" w:val="solid"/>
          </w:tcPr>
          <w:p>
            <w:r>
              <w:rPr>
                <w:sz w:val="18"/>
                <w:szCs w:val="18"/>
              </w:rPr>
              <w:t xml:space="preserve">8</w:t>
            </w:r>
          </w:p>
        </w:tc>
      </w:tr>
      <w:tr>
        <w:tc>
          <w:tcPr>
            <w:tcW w:type="pct" w:w="40%"/>
            <w:shd w:color="F5F5F5" w:val="solid"/>
          </w:tcPr>
          <w:p>
            <w:r>
              <w:rPr>
                <w:sz w:val="18"/>
                <w:szCs w:val="18"/>
              </w:rPr>
              <w:t xml:space="preserve">Tests requiring review / warnings</w:t>
            </w:r>
          </w:p>
        </w:tc>
        <w:tc>
          <w:tcPr>
            <w:tcW w:type="pct" w:w="60%"/>
            <w:shd w:color="F5F5F5" w:val="solid"/>
          </w:tcPr>
          <w:p>
            <w:r>
              <w:rPr>
                <w:sz w:val="18"/>
                <w:szCs w:val="18"/>
              </w:rPr>
              <w:t xml:space="preserve">1</w:t>
            </w:r>
          </w:p>
        </w:tc>
      </w:tr>
      <w:tr>
        <w:tc>
          <w:tcPr>
            <w:tcW w:type="pct" w:w="40%"/>
            <w:shd w:color="FFFFFF" w:val="solid"/>
          </w:tcPr>
          <w:p>
            <w:r>
              <w:rPr>
                <w:sz w:val="18"/>
                <w:szCs w:val="18"/>
              </w:rPr>
              <w:t xml:space="preserve">Tests failed</w:t>
            </w:r>
          </w:p>
        </w:tc>
        <w:tc>
          <w:tcPr>
            <w:tcW w:type="pct" w:w="60%"/>
            <w:shd w:color="FFFFFF" w:val="solid"/>
          </w:tcPr>
          <w:p>
            <w:r>
              <w:rPr>
                <w:sz w:val="18"/>
                <w:szCs w:val="18"/>
              </w:rPr>
              <w:t xml:space="preserve">1</w:t>
            </w:r>
          </w:p>
        </w:tc>
      </w:tr>
      <w:tr>
        <w:tc>
          <w:tcPr>
            <w:tcW w:type="pct" w:w="40%"/>
            <w:shd w:color="F5F5F5" w:val="solid"/>
          </w:tcPr>
          <w:p>
            <w:r>
              <w:rPr>
                <w:sz w:val="18"/>
                <w:szCs w:val="18"/>
              </w:rPr>
              <w:t xml:space="preserve">npm audit — Critical</w:t>
            </w:r>
          </w:p>
        </w:tc>
        <w:tc>
          <w:tcPr>
            <w:tcW w:type="pct" w:w="60%"/>
            <w:shd w:color="F5F5F5" w:val="solid"/>
          </w:tcPr>
          <w:p>
            <w:r>
              <w:rPr>
                <w:sz w:val="18"/>
                <w:szCs w:val="18"/>
              </w:rPr>
              <w:t xml:space="preserve">0</w:t>
            </w:r>
          </w:p>
        </w:tc>
      </w:tr>
      <w:tr>
        <w:tc>
          <w:tcPr>
            <w:tcW w:type="pct" w:w="40%"/>
            <w:shd w:color="FFFFFF" w:val="solid"/>
          </w:tcPr>
          <w:p>
            <w:r>
              <w:rPr>
                <w:sz w:val="18"/>
                <w:szCs w:val="18"/>
              </w:rPr>
              <w:t xml:space="preserve">npm audit — High</w:t>
            </w:r>
          </w:p>
        </w:tc>
        <w:tc>
          <w:tcPr>
            <w:tcW w:type="pct" w:w="60%"/>
            <w:shd w:color="FFFFFF" w:val="solid"/>
          </w:tcPr>
          <w:p>
            <w:r>
              <w:rPr>
                <w:sz w:val="18"/>
                <w:szCs w:val="18"/>
              </w:rPr>
              <w:t xml:space="preserve">6</w:t>
            </w:r>
          </w:p>
        </w:tc>
      </w:tr>
      <w:tr>
        <w:tc>
          <w:tcPr>
            <w:tcW w:type="pct" w:w="40%"/>
            <w:shd w:color="F5F5F5" w:val="solid"/>
          </w:tcPr>
          <w:p>
            <w:r>
              <w:rPr>
                <w:sz w:val="18"/>
                <w:szCs w:val="18"/>
              </w:rPr>
              <w:t xml:space="preserve">npm audit — Moderate</w:t>
            </w:r>
          </w:p>
        </w:tc>
        <w:tc>
          <w:tcPr>
            <w:tcW w:type="pct" w:w="60%"/>
            <w:shd w:color="F5F5F5" w:val="solid"/>
          </w:tcPr>
          <w:p>
            <w:r>
              <w:rPr>
                <w:sz w:val="18"/>
                <w:szCs w:val="18"/>
              </w:rPr>
              <w:t xml:space="preserve">3</w:t>
            </w:r>
          </w:p>
        </w:tc>
      </w:tr>
      <w:tr>
        <w:tc>
          <w:tcPr>
            <w:tcW w:type="pct" w:w="40%"/>
            <w:shd w:color="FFFFFF" w:val="solid"/>
          </w:tcPr>
          <w:p>
            <w:r>
              <w:rPr>
                <w:sz w:val="18"/>
                <w:szCs w:val="18"/>
              </w:rPr>
              <w:t xml:space="preserve">npm audit — Low</w:t>
            </w:r>
          </w:p>
        </w:tc>
        <w:tc>
          <w:tcPr>
            <w:tcW w:type="pct" w:w="60%"/>
            <w:shd w:color="FFFFFF" w:val="solid"/>
          </w:tcPr>
          <w:p>
            <w:r>
              <w:rPr>
                <w:sz w:val="18"/>
                <w:szCs w:val="18"/>
              </w:rPr>
              <w:t xml:space="preserve">0</w:t>
            </w:r>
          </w:p>
        </w:tc>
      </w:tr>
      <w:tr>
        <w:tc>
          <w:tcPr>
            <w:tcW w:type="pct" w:w="40%"/>
            <w:shd w:color="F5F5F5" w:val="solid"/>
          </w:tcPr>
          <w:p>
            <w:r>
              <w:rPr>
                <w:sz w:val="18"/>
                <w:szCs w:val="18"/>
              </w:rPr>
              <w:t xml:space="preserve">Source files scanned</w:t>
            </w:r>
          </w:p>
        </w:tc>
        <w:tc>
          <w:tcPr>
            <w:tcW w:type="pct" w:w="60%"/>
            <w:shd w:color="F5F5F5" w:val="solid"/>
          </w:tcPr>
          <w:p>
            <w:r>
              <w:rPr>
                <w:sz w:val="18"/>
                <w:szCs w:val="18"/>
              </w:rPr>
              <w:t xml:space="preserve">89</w:t>
            </w:r>
          </w:p>
        </w:tc>
      </w:tr>
      <w:tr>
        <w:tc>
          <w:tcPr>
            <w:tcW w:type="pct" w:w="40%"/>
            <w:shd w:color="FFFFFF" w:val="solid"/>
          </w:tcPr>
          <w:p>
            <w:r>
              <w:rPr>
                <w:sz w:val="18"/>
                <w:szCs w:val="18"/>
              </w:rPr>
              <w:t xml:space="preserve">Assessment timestamp</w:t>
            </w:r>
          </w:p>
        </w:tc>
        <w:tc>
          <w:tcPr>
            <w:tcW w:type="pct" w:w="60%"/>
            <w:shd w:color="FFFFFF" w:val="solid"/>
          </w:tcPr>
          <w:p>
            <w:r>
              <w:rPr>
                <w:sz w:val="18"/>
                <w:szCs w:val="18"/>
              </w:rPr>
              <w:t xml:space="preserve">2026-03-04T10:59:05.216Z</w:t>
            </w:r>
          </w:p>
        </w:tc>
      </w:tr>
    </w:tbl>
    <w:p>
      <w:pPr>
        <w:spacing w:after="300"/>
      </w:pPr>
    </w:p>
    <w:p>
      <w:pPr>
        <w:spacing w:after="120"/>
      </w:pPr>
      <w:r>
        <w:rPr>
          <w:b/>
          <w:bCs/>
        </w:rPr>
        <w:t xml:space="preserve">Key findings summary:</w:t>
      </w:r>
    </w:p>
    <w:p>
      <w:pPr>
        <w:pStyle w:val="ListParagraph"/>
        <w:numPr>
          <w:ilvl w:val="0"/>
          <w:numId w:val="1"/>
        </w:numPr>
        <w:spacing w:after="80"/>
      </w:pPr>
      <w:r>
        <w:t xml:space="preserve">No hardcoded credentials or API keys were detected in version-controlled source files.</w:t>
      </w:r>
    </w:p>
    <w:p>
      <w:pPr>
        <w:pStyle w:val="ListParagraph"/>
        <w:numPr>
          <w:ilvl w:val="0"/>
          <w:numId w:val="1"/>
        </w:numPr>
        <w:spacing w:after="80"/>
      </w:pPr>
      <w:r>
        <w:t xml:space="preserve">React JSX rendering is used throughout the codebase — no dangerouslySetInnerHTML or direct DOM injection patterns were detected.</w:t>
      </w:r>
    </w:p>
    <w:p>
      <w:pPr>
        <w:pStyle w:val="ListParagraph"/>
        <w:numPr>
          <w:ilvl w:val="0"/>
          <w:numId w:val="1"/>
        </w:numPr>
        <w:spacing w:after="80"/>
      </w:pPr>
      <w:r>
        <w:t xml:space="preserve">14 known vulnerabilities were identified in third-party dependencies via npm audit (9 high severity). The xlsx/SheetJS package has two unpatched advisories with no available fix.</w:t>
      </w:r>
    </w:p>
    <w:p>
      <w:pPr>
        <w:pStyle w:val="ListParagraph"/>
        <w:numPr>
          <w:ilvl w:val="0"/>
          <w:numId w:val="1"/>
        </w:numPr>
        <w:spacing w:after="80"/>
      </w:pPr>
      <w:r>
        <w:t xml:space="preserve">HTTP security headers (CSP, HSTS, X-Frame-Options) require configuration in netlify.toml.</w:t>
      </w:r>
    </w:p>
    <w:p>
      <w:pPr>
        <w:pStyle w:val="ListParagraph"/>
        <w:numPr>
          <w:ilvl w:val="0"/>
          <w:numId w:val="1"/>
        </w:numPr>
        <w:spacing w:after="80"/>
      </w:pPr>
      <w:r>
        <w:t xml:space="preserve">CORS policy on the AI API endpoint uses a wildcard origin and should be restricted to known production domains.</w:t>
      </w:r>
    </w:p>
    <w:p>
      <w:r>
        <w:br w:type="page"/>
      </w:r>
    </w:p>
    <w:p>
      <w:pPr>
        <w:pStyle w:val="Heading1"/>
        <w:spacing w:before="400" w:after="200"/>
        <w:rPr>
          <w:b/>
          <w:bCs/>
          <w:color w:val="1f3a6e"/>
        </w:rPr>
      </w:pPr>
      <w:r>
        <w:t xml:space="preserve">2. Assessment Scope</w:t>
      </w:r>
    </w:p>
    <w:p>
      <w:pPr>
        <w:pBdr>
          <w:bottom w:val="single" w:color="1f3a6e" w:sz="6"/>
        </w:pBdr>
        <w:spacing w:after="200"/>
      </w:pPr>
    </w:p>
    <w:p>
      <w:pPr>
        <w:spacing w:after="120"/>
      </w:pPr>
      <w:r>
        <w:t xml:space="preserve">The following components were included in this assessment:</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tblGrid>
      <w:tr>
        <w:trPr>
          <w:tblHeader/>
        </w:trPr>
        <w:tc>
          <w:tcPr>
            <w:tcW w:type="pct" w:w="30%"/>
            <w:shd w:color="1f3a6e" w:val="solid"/>
          </w:tcPr>
          <w:p>
            <w:r>
              <w:rPr>
                <w:b/>
                <w:bCs/>
                <w:color w:val="FFFFFF"/>
                <w:sz w:val="18"/>
                <w:szCs w:val="18"/>
              </w:rPr>
              <w:t xml:space="preserve">Component</w:t>
            </w:r>
          </w:p>
        </w:tc>
        <w:tc>
          <w:tcPr>
            <w:tcW w:type="pct" w:w="35%"/>
            <w:shd w:color="1f3a6e" w:val="solid"/>
          </w:tcPr>
          <w:p>
            <w:r>
              <w:rPr>
                <w:b/>
                <w:bCs/>
                <w:color w:val="FFFFFF"/>
                <w:sz w:val="18"/>
                <w:szCs w:val="18"/>
              </w:rPr>
              <w:t xml:space="preserve">Technology</w:t>
            </w:r>
          </w:p>
        </w:tc>
        <w:tc>
          <w:tcPr>
            <w:tcW w:type="pct" w:w="35%"/>
            <w:shd w:color="1f3a6e" w:val="solid"/>
          </w:tcPr>
          <w:p>
            <w:r>
              <w:rPr>
                <w:b/>
                <w:bCs/>
                <w:color w:val="FFFFFF"/>
                <w:sz w:val="18"/>
                <w:szCs w:val="18"/>
              </w:rPr>
              <w:t xml:space="preserve">Scope</w:t>
            </w:r>
          </w:p>
        </w:tc>
      </w:tr>
      <w:tr>
        <w:tc>
          <w:tcPr>
            <w:tcW w:type="pct" w:w="30%"/>
            <w:shd w:color="F5F5F5" w:val="solid"/>
          </w:tcPr>
          <w:p>
            <w:r>
              <w:rPr>
                <w:sz w:val="18"/>
                <w:szCs w:val="18"/>
              </w:rPr>
              <w:t xml:space="preserve">Frontend Application</w:t>
            </w:r>
          </w:p>
        </w:tc>
        <w:tc>
          <w:tcPr>
            <w:tcW w:type="pct" w:w="35%"/>
            <w:shd w:color="F5F5F5" w:val="solid"/>
          </w:tcPr>
          <w:p>
            <w:r>
              <w:rPr>
                <w:sz w:val="18"/>
                <w:szCs w:val="18"/>
              </w:rPr>
              <w:t xml:space="preserve">React 18 + TypeScript + Vite</w:t>
            </w:r>
          </w:p>
        </w:tc>
        <w:tc>
          <w:tcPr>
            <w:tcW w:type="pct" w:w="35%"/>
            <w:shd w:color="F5F5F5" w:val="solid"/>
          </w:tcPr>
          <w:p>
            <w:r>
              <w:rPr>
                <w:sz w:val="18"/>
                <w:szCs w:val="18"/>
              </w:rPr>
              <w:t xml:space="preserve">Full static analysis</w:t>
            </w:r>
          </w:p>
        </w:tc>
      </w:tr>
      <w:tr>
        <w:tc>
          <w:tcPr>
            <w:tcW w:type="pct" w:w="30%"/>
            <w:shd w:color="FFFFFF" w:val="solid"/>
          </w:tcPr>
          <w:p>
            <w:r>
              <w:rPr>
                <w:sz w:val="18"/>
                <w:szCs w:val="18"/>
              </w:rPr>
              <w:t xml:space="preserve">AI Analysis API</w:t>
            </w:r>
          </w:p>
        </w:tc>
        <w:tc>
          <w:tcPr>
            <w:tcW w:type="pct" w:w="35%"/>
            <w:shd w:color="FFFFFF" w:val="solid"/>
          </w:tcPr>
          <w:p>
            <w:r>
              <w:rPr>
                <w:sz w:val="18"/>
                <w:szCs w:val="18"/>
              </w:rPr>
              <w:t xml:space="preserve">Vercel Serverless Function (TypeScript)</w:t>
            </w:r>
          </w:p>
        </w:tc>
        <w:tc>
          <w:tcPr>
            <w:tcW w:type="pct" w:w="35%"/>
            <w:shd w:color="FFFFFF" w:val="solid"/>
          </w:tcPr>
          <w:p>
            <w:r>
              <w:rPr>
                <w:sz w:val="18"/>
                <w:szCs w:val="18"/>
              </w:rPr>
              <w:t xml:space="preserve">Full static analysis</w:t>
            </w:r>
          </w:p>
        </w:tc>
      </w:tr>
      <w:tr>
        <w:tc>
          <w:tcPr>
            <w:tcW w:type="pct" w:w="30%"/>
            <w:shd w:color="F5F5F5" w:val="solid"/>
          </w:tcPr>
          <w:p>
            <w:r>
              <w:rPr>
                <w:sz w:val="18"/>
                <w:szCs w:val="18"/>
              </w:rPr>
              <w:t xml:space="preserve">Netlify Edge Functions</w:t>
            </w:r>
          </w:p>
        </w:tc>
        <w:tc>
          <w:tcPr>
            <w:tcW w:type="pct" w:w="35%"/>
            <w:shd w:color="F5F5F5" w:val="solid"/>
          </w:tcPr>
          <w:p>
            <w:r>
              <w:rPr>
                <w:sz w:val="18"/>
                <w:szCs w:val="18"/>
              </w:rPr>
              <w:t xml:space="preserve">TypeScript (contact, chat, purge-cdn)</w:t>
            </w:r>
          </w:p>
        </w:tc>
        <w:tc>
          <w:tcPr>
            <w:tcW w:type="pct" w:w="35%"/>
            <w:shd w:color="F5F5F5" w:val="solid"/>
          </w:tcPr>
          <w:p>
            <w:r>
              <w:rPr>
                <w:sz w:val="18"/>
                <w:szCs w:val="18"/>
              </w:rPr>
              <w:t xml:space="preserve">Full static analysis</w:t>
            </w:r>
          </w:p>
        </w:tc>
      </w:tr>
      <w:tr>
        <w:tc>
          <w:tcPr>
            <w:tcW w:type="pct" w:w="30%"/>
            <w:shd w:color="FFFFFF" w:val="solid"/>
          </w:tcPr>
          <w:p>
            <w:r>
              <w:rPr>
                <w:sz w:val="18"/>
                <w:szCs w:val="18"/>
              </w:rPr>
              <w:t xml:space="preserve">Database Layer</w:t>
            </w:r>
          </w:p>
        </w:tc>
        <w:tc>
          <w:tcPr>
            <w:tcW w:type="pct" w:w="35%"/>
            <w:shd w:color="FFFFFF" w:val="solid"/>
          </w:tcPr>
          <w:p>
            <w:r>
              <w:rPr>
                <w:sz w:val="18"/>
                <w:szCs w:val="18"/>
              </w:rPr>
              <w:t xml:space="preserve">Supabase (PostgreSQL + PostgREST)</w:t>
            </w:r>
          </w:p>
        </w:tc>
        <w:tc>
          <w:tcPr>
            <w:tcW w:type="pct" w:w="35%"/>
            <w:shd w:color="FFFFFF" w:val="solid"/>
          </w:tcPr>
          <w:p>
            <w:r>
              <w:rPr>
                <w:sz w:val="18"/>
                <w:szCs w:val="18"/>
              </w:rPr>
              <w:t xml:space="preserve">Query pattern analysis</w:t>
            </w:r>
          </w:p>
        </w:tc>
      </w:tr>
      <w:tr>
        <w:tc>
          <w:tcPr>
            <w:tcW w:type="pct" w:w="30%"/>
            <w:shd w:color="F5F5F5" w:val="solid"/>
          </w:tcPr>
          <w:p>
            <w:r>
              <w:rPr>
                <w:sz w:val="18"/>
                <w:szCs w:val="18"/>
              </w:rPr>
              <w:t xml:space="preserve">Authentication</w:t>
            </w:r>
          </w:p>
        </w:tc>
        <w:tc>
          <w:tcPr>
            <w:tcW w:type="pct" w:w="35%"/>
            <w:shd w:color="F5F5F5" w:val="solid"/>
          </w:tcPr>
          <w:p>
            <w:r>
              <w:rPr>
                <w:sz w:val="18"/>
                <w:szCs w:val="18"/>
              </w:rPr>
              <w:t xml:space="preserve">Supabase Auth (JWT + Google OAuth)</w:t>
            </w:r>
          </w:p>
        </w:tc>
        <w:tc>
          <w:tcPr>
            <w:tcW w:type="pct" w:w="35%"/>
            <w:shd w:color="F5F5F5" w:val="solid"/>
          </w:tcPr>
          <w:p>
            <w:r>
              <w:rPr>
                <w:sz w:val="18"/>
                <w:szCs w:val="18"/>
              </w:rPr>
              <w:t xml:space="preserve">Session management review</w:t>
            </w:r>
          </w:p>
        </w:tc>
      </w:tr>
      <w:tr>
        <w:tc>
          <w:tcPr>
            <w:tcW w:type="pct" w:w="30%"/>
            <w:shd w:color="FFFFFF" w:val="solid"/>
          </w:tcPr>
          <w:p>
            <w:r>
              <w:rPr>
                <w:sz w:val="18"/>
                <w:szCs w:val="18"/>
              </w:rPr>
              <w:t xml:space="preserve">Third-Party Dependencies</w:t>
            </w:r>
          </w:p>
        </w:tc>
        <w:tc>
          <w:tcPr>
            <w:tcW w:type="pct" w:w="35%"/>
            <w:shd w:color="FFFFFF" w:val="solid"/>
          </w:tcPr>
          <w:p>
            <w:r>
              <w:rPr>
                <w:sz w:val="18"/>
                <w:szCs w:val="18"/>
              </w:rPr>
              <w:t xml:space="preserve">npm package registry</w:t>
            </w:r>
          </w:p>
        </w:tc>
        <w:tc>
          <w:tcPr>
            <w:tcW w:type="pct" w:w="35%"/>
            <w:shd w:color="FFFFFF" w:val="solid"/>
          </w:tcPr>
          <w:p>
            <w:r>
              <w:rPr>
                <w:sz w:val="18"/>
                <w:szCs w:val="18"/>
              </w:rPr>
              <w:t xml:space="preserve">npm audit scan</w:t>
            </w:r>
          </w:p>
        </w:tc>
      </w:tr>
      <w:tr>
        <w:tc>
          <w:tcPr>
            <w:tcW w:type="pct" w:w="30%"/>
            <w:shd w:color="F5F5F5" w:val="solid"/>
          </w:tcPr>
          <w:p>
            <w:r>
              <w:rPr>
                <w:sz w:val="18"/>
                <w:szCs w:val="18"/>
              </w:rPr>
              <w:t xml:space="preserve">Deployment Configuration</w:t>
            </w:r>
          </w:p>
        </w:tc>
        <w:tc>
          <w:tcPr>
            <w:tcW w:type="pct" w:w="35%"/>
            <w:shd w:color="F5F5F5" w:val="solid"/>
          </w:tcPr>
          <w:p>
            <w:r>
              <w:rPr>
                <w:sz w:val="18"/>
                <w:szCs w:val="18"/>
              </w:rPr>
              <w:t xml:space="preserve">netlify.toml, vercel.json</w:t>
            </w:r>
          </w:p>
        </w:tc>
        <w:tc>
          <w:tcPr>
            <w:tcW w:type="pct" w:w="35%"/>
            <w:shd w:color="F5F5F5" w:val="solid"/>
          </w:tcPr>
          <w:p>
            <w:r>
              <w:rPr>
                <w:sz w:val="18"/>
                <w:szCs w:val="18"/>
              </w:rPr>
              <w:t xml:space="preserve">Header / CORS analysis</w:t>
            </w:r>
          </w:p>
        </w:tc>
      </w:tr>
    </w:tbl>
    <w:p>
      <w:pPr>
        <w:spacing w:after="200"/>
      </w:pPr>
    </w:p>
    <w:p>
      <w:pPr>
        <w:spacing w:after="120"/>
      </w:pPr>
      <w:r>
        <w:t xml:space="preserve">The following were out of scope for this automated assessment:</w:t>
      </w:r>
    </w:p>
    <w:p>
      <w:pPr>
        <w:pStyle w:val="ListParagraph"/>
        <w:numPr>
          <w:ilvl w:val="0"/>
          <w:numId w:val="1"/>
        </w:numPr>
        <w:spacing w:after="80"/>
      </w:pPr>
      <w:r>
        <w:t xml:space="preserve">Dynamic/runtime penetration testing (automated scanners such as OWASP ZAP or Burp Suite)</w:t>
      </w:r>
    </w:p>
    <w:p>
      <w:pPr>
        <w:pStyle w:val="ListParagraph"/>
        <w:numPr>
          <w:ilvl w:val="0"/>
          <w:numId w:val="1"/>
        </w:numPr>
        <w:spacing w:after="80"/>
      </w:pPr>
      <w:r>
        <w:t xml:space="preserve">Social engineering and phishing simulation</w:t>
      </w:r>
    </w:p>
    <w:p>
      <w:pPr>
        <w:pStyle w:val="ListParagraph"/>
        <w:numPr>
          <w:ilvl w:val="0"/>
          <w:numId w:val="1"/>
        </w:numPr>
        <w:spacing w:after="80"/>
      </w:pPr>
      <w:r>
        <w:t xml:space="preserve">Physical security assessment</w:t>
      </w:r>
    </w:p>
    <w:p>
      <w:pPr>
        <w:pStyle w:val="ListParagraph"/>
        <w:numPr>
          <w:ilvl w:val="0"/>
          <w:numId w:val="1"/>
        </w:numPr>
        <w:spacing w:after="80"/>
      </w:pPr>
      <w:r>
        <w:t xml:space="preserve">Supabase Row Level Security (RLS) policy audit — requires live database access</w:t>
      </w:r>
    </w:p>
    <w:p>
      <w:r>
        <w:br w:type="page"/>
      </w:r>
    </w:p>
    <w:p>
      <w:pPr>
        <w:pStyle w:val="Heading1"/>
        <w:spacing w:before="400" w:after="200"/>
        <w:rPr>
          <w:b/>
          <w:bCs/>
          <w:color w:val="1f3a6e"/>
        </w:rPr>
      </w:pPr>
      <w:r>
        <w:t xml:space="preserve">3. Methodology</w:t>
      </w:r>
    </w:p>
    <w:p>
      <w:pPr>
        <w:pBdr>
          <w:bottom w:val="single" w:color="1f3a6e" w:sz="6"/>
        </w:pBdr>
        <w:spacing w:after="200"/>
      </w:pPr>
    </w:p>
    <w:p>
      <w:pPr>
        <w:spacing w:after="120"/>
      </w:pPr>
      <w:r>
        <w:t xml:space="preserve">This assessment used static application security testing (SAST) techniques. All source files were analysed programmatically using regular expression pattern matching against known vulnerability signatures. Dependency scanning was performed using npm audit against the GitHub Advisory Database.</w:t>
      </w:r>
    </w:p>
    <w:p>
      <w:pPr>
        <w:spacing w:after="150"/>
      </w:pPr>
    </w:p>
    <w:p>
      <w:pPr>
        <w:spacing w:after="120"/>
      </w:pPr>
      <w:r>
        <w:rPr>
          <w:b/>
          <w:bCs/>
        </w:rPr>
        <w:t xml:space="preserve">Testing methodology aligned with:</w:t>
      </w:r>
    </w:p>
    <w:p>
      <w:pPr>
        <w:pStyle w:val="ListParagraph"/>
        <w:numPr>
          <w:ilvl w:val="0"/>
          <w:numId w:val="1"/>
        </w:numPr>
        <w:spacing w:after="80"/>
      </w:pPr>
      <w:r>
        <w:t xml:space="preserve">OWASP Top 10 (2021) — Web Application Security Risks</w:t>
      </w:r>
    </w:p>
    <w:p>
      <w:pPr>
        <w:pStyle w:val="ListParagraph"/>
        <w:numPr>
          <w:ilvl w:val="0"/>
          <w:numId w:val="1"/>
        </w:numPr>
        <w:spacing w:after="80"/>
      </w:pPr>
      <w:r>
        <w:t xml:space="preserve">OWASP Testing Guide v4.2 — OTG-INPVAL (Input Validation Testing)</w:t>
      </w:r>
    </w:p>
    <w:p>
      <w:pPr>
        <w:pStyle w:val="ListParagraph"/>
        <w:numPr>
          <w:ilvl w:val="0"/>
          <w:numId w:val="1"/>
        </w:numPr>
        <w:spacing w:after="80"/>
      </w:pPr>
      <w:r>
        <w:t xml:space="preserve">CWE/SANS Top 25 Most Dangerous Software Weaknesses</w:t>
      </w:r>
    </w:p>
    <w:p>
      <w:pPr>
        <w:pStyle w:val="ListParagraph"/>
        <w:numPr>
          <w:ilvl w:val="0"/>
          <w:numId w:val="1"/>
        </w:numPr>
        <w:spacing w:after="80"/>
      </w:pPr>
      <w:r>
        <w:t xml:space="preserve">npm audit — Node Security Advisory Database</w:t>
      </w:r>
    </w:p>
    <w:p>
      <w:pPr>
        <w:spacing w:after="150"/>
      </w:pPr>
    </w:p>
    <w:p>
      <w:pPr>
        <w:spacing w:after="120"/>
      </w:pPr>
      <w:r>
        <w:t xml:space="preserve">Test execution was fully automated. No manual penetration testing, network-level scanning, or live environment testing was performed in this assessment phase. A dynamic assessment phase using OWASP ZAP against the staging environment is recommended as a follow-up.</w:t>
      </w:r>
    </w:p>
    <w:p>
      <w:r>
        <w:br w:type="page"/>
      </w:r>
    </w:p>
    <w:p>
      <w:pPr>
        <w:pStyle w:val="Heading1"/>
        <w:spacing w:before="400" w:after="200"/>
        <w:rPr>
          <w:b/>
          <w:bCs/>
          <w:color w:val="1f3a6e"/>
        </w:rPr>
      </w:pPr>
      <w:r>
        <w:t xml:space="preserve">4. Detailed Test Results</w:t>
      </w:r>
    </w:p>
    <w:p>
      <w:pPr>
        <w:pBdr>
          <w:bottom w:val="single" w:color="1f3a6e" w:sz="6"/>
        </w:pBdr>
        <w:spacing w:after="200"/>
      </w:pPr>
    </w:p>
    <w:p>
      <w:pPr>
        <w:spacing w:after="120"/>
      </w:pPr>
      <w:r>
        <w:t xml:space="preserve">Each test result below includes: test ID, category, CWE reference, OWASP mapping, detailed technical description, evidence gathered, and remediation guidance.</w:t>
      </w:r>
    </w:p>
    <w:p>
      <w:pPr>
        <w:spacing w:after="200"/>
      </w:pPr>
    </w:p>
    <w:p>
      <w:pPr>
        <w:shd w:color="C0392B" w:val="solid"/>
        <w:spacing w:before="300" w:after="0"/>
        <w:ind w:left="100" w:right="100"/>
      </w:pPr>
      <w:r>
        <w:rPr>
          <w:b/>
          <w:bCs/>
          <w:color w:val="FFFFFF"/>
          <w:sz w:val="24"/>
          <w:szCs w:val="24"/>
        </w:rPr>
        <w:t xml:space="preserve">SEC-001: Cross-Site Scripting (XSS)</w:t>
      </w:r>
      <w:r>
        <w:rPr>
          <w:b/>
          <w:bCs/>
          <w:color w:val="FFFFFF"/>
          <w:sz w:val="20"/>
          <w:szCs w:val="20"/>
        </w:rPr>
        <w:t xml:space="preserve">   [FAIL]  Risk: High</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Injection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CWE-79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A03:2021 - Injection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FAIL</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High</w:t>
            </w:r>
          </w:p>
        </w:tc>
      </w:tr>
    </w:tbl>
    <w:p>
      <w:pPr>
        <w:spacing w:after="100"/>
      </w:pPr>
    </w:p>
    <w:p>
      <w:pPr>
        <w:spacing w:after="60"/>
      </w:pPr>
      <w:r>
        <w:rPr>
          <w:b/>
          <w:bCs/>
        </w:rPr>
        <w:t xml:space="preserve">Technical Description</w:t>
      </w:r>
    </w:p>
    <w:p>
      <w:pPr>
        <w:spacing w:after="120"/>
      </w:pPr>
      <w:r>
        <w:t xml:space="preserve">Checks for direct DOM manipulation patterns that bypass React's built-in XSS protection (dangerouslySetInnerHTML, innerHTML assignment, eval(), document.write()). React escapes content by default; these patterns override that protection.</w:t>
      </w:r>
    </w:p>
    <w:p>
      <w:pPr>
        <w:spacing w:after="60"/>
      </w:pPr>
      <w:r>
        <w:rPr>
          <w:b/>
          <w:bCs/>
        </w:rPr>
        <w:t xml:space="preserve">Finding</w:t>
      </w:r>
    </w:p>
    <w:p>
      <w:pPr>
        <w:spacing w:after="120"/>
      </w:pPr>
      <w:r>
        <w:t xml:space="preserve">1 potential XSS vector(s) found requiring review.</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client\src\lib\exportReport.ts</w:t>
            </w:r>
          </w:p>
        </w:tc>
        <w:tc>
          <w:tcPr>
            <w:shd w:color="F0F0F0" w:val="solid"/>
          </w:tcPr>
          <w:p>
            <w:r>
              <w:rPr>
                <w:sz w:val="16"/>
                <w:szCs w:val="16"/>
              </w:rPr>
              <w:t xml:space="preserve">235</w:t>
            </w:r>
          </w:p>
        </w:tc>
        <w:tc>
          <w:tcPr>
            <w:shd w:color="F0F0F0" w:val="solid"/>
          </w:tcPr>
          <w:p>
            <w:r>
              <w:rPr>
                <w:rFonts w:ascii="Courier New" w:cs="Courier New" w:eastAsia="Courier New" w:hAnsi="Courier New"/>
                <w:sz w:val="16"/>
                <w:szCs w:val="16"/>
              </w:rPr>
              <w:t xml:space="preserve">printWin.document.write(`&lt;!DOCTYPE html&gt;</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Maintain use of React JSX. If HTML rendering from external sources is required, use the DOMPurify library to sanitise content before using dangerouslySetInnerHTML.</w:t>
      </w:r>
    </w:p>
    <w:p>
      <w:pPr>
        <w:shd w:color="27AE60" w:val="solid"/>
        <w:spacing w:before="300" w:after="0"/>
        <w:ind w:left="100" w:right="100"/>
      </w:pPr>
      <w:r>
        <w:rPr>
          <w:b/>
          <w:bCs/>
          <w:color w:val="FFFFFF"/>
          <w:sz w:val="24"/>
          <w:szCs w:val="24"/>
        </w:rPr>
        <w:t xml:space="preserve">SEC-002: Hardcoded Credentials / Secrets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Sensitive Data Exposure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CWE-798</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Scans source files for patterns matching API keys, JWT tokens, and hardcoded passwords. Secrets committed to version control are permanently exposed in git history even if later removed.</w:t>
      </w:r>
    </w:p>
    <w:p>
      <w:pPr>
        <w:spacing w:after="60"/>
      </w:pPr>
      <w:r>
        <w:rPr>
          <w:b/>
          <w:bCs/>
        </w:rPr>
        <w:t xml:space="preserve">Finding</w:t>
      </w:r>
    </w:p>
    <w:p>
      <w:pPr>
        <w:spacing w:after="120"/>
      </w:pPr>
      <w:r>
        <w:t xml:space="preserve">No hardcoded credentials found in source files. All secrets are loaded via environment variables (.env.local, process.env).</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All secrets must be stored in .env.local (gitignored) and injected at runtime via Vite VITE_* prefix or process.env. Never commit .env files to version control.</w:t>
      </w:r>
    </w:p>
    <w:p>
      <w:pPr>
        <w:shd w:color="27AE60" w:val="solid"/>
        <w:spacing w:before="300" w:after="0"/>
        <w:ind w:left="100" w:right="100"/>
      </w:pPr>
      <w:r>
        <w:rPr>
          <w:b/>
          <w:bCs/>
          <w:color w:val="FFFFFF"/>
          <w:sz w:val="24"/>
          <w:szCs w:val="24"/>
        </w:rPr>
        <w:t xml:space="preserve">SEC-003: Insecure HTTP Connections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Transport Layer Security</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CWE-319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Identifies outbound requests made over unencrypted HTTP rather than HTTPS. HTTP transmissions are susceptible to man-in-the-middle (MitM) interception and data tampering. Exclusions: localhost (no TLS in dev), SVG/XML xmlns declarations (not network calls).</w:t>
      </w:r>
    </w:p>
    <w:p>
      <w:pPr>
        <w:spacing w:after="60"/>
      </w:pPr>
      <w:r>
        <w:rPr>
          <w:b/>
          <w:bCs/>
        </w:rPr>
        <w:t xml:space="preserve">Finding</w:t>
      </w:r>
    </w:p>
    <w:p>
      <w:pPr>
        <w:spacing w:after="120"/>
      </w:pPr>
      <w:r>
        <w:t xml:space="preserve">All external API calls and resource URLs use HTTPS. Supabase, Anthropic, and Resend endpoints are all TLS-encrypted.</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Enforce HTTPS for all external communications. Configure HSTS headers (Strict-Transport-Security) in Netlify response headers configuration.</w:t>
      </w:r>
    </w:p>
    <w:p>
      <w:pPr>
        <w:shd w:color="27AE60" w:val="solid"/>
        <w:spacing w:before="300" w:after="0"/>
        <w:ind w:left="100" w:right="100"/>
      </w:pPr>
      <w:r>
        <w:rPr>
          <w:b/>
          <w:bCs/>
          <w:color w:val="FFFFFF"/>
          <w:sz w:val="24"/>
          <w:szCs w:val="24"/>
        </w:rPr>
        <w:t xml:space="preserve">SEC-004: Sensitive Data in Console Output</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Information Disclosure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CWE-532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A09:2021 - Security Logging and Monitoring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Detects console.log/warn/error statements that may output authentication tokens, passwords, or API keys to browser developer tools — accessible to any user with DevTools access.</w:t>
      </w:r>
    </w:p>
    <w:p>
      <w:pPr>
        <w:spacing w:after="60"/>
      </w:pPr>
      <w:r>
        <w:rPr>
          <w:b/>
          <w:bCs/>
        </w:rPr>
        <w:t xml:space="preserve">Finding</w:t>
      </w:r>
    </w:p>
    <w:p>
      <w:pPr>
        <w:spacing w:after="120"/>
      </w:pPr>
      <w:r>
        <w:t xml:space="preserve">No sensitive data detected in console output statements.</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Remove or redact all console statements containing authentication data. Use a logging abstraction that strips sensitive fields and is disabled in production builds.</w:t>
      </w:r>
    </w:p>
    <w:p>
      <w:pPr>
        <w:shd w:color="27AE60" w:val="solid"/>
        <w:spacing w:before="300" w:after="0"/>
        <w:ind w:left="100" w:right="100"/>
      </w:pPr>
      <w:r>
        <w:rPr>
          <w:b/>
          <w:bCs/>
          <w:color w:val="FFFFFF"/>
          <w:sz w:val="24"/>
          <w:szCs w:val="24"/>
        </w:rPr>
        <w:t xml:space="preserve">SEC-005: Sensitive Data in Browser Storage</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Sensitive Data Exposure</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CWE-922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A02:2021 - Cryptographic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Checks whether authentication tokens, session data, or other sensitive values are stored in localStorage or sessionStorage. These storage mechanisms are accessible to any JavaScript on the page, making them vulnerable to XSS-based token theft. Note: constant names (ALL_CAPS), UI preferences (theme), and removeItem() calls are excluded to prevent false positives.</w:t>
      </w:r>
    </w:p>
    <w:p>
      <w:pPr>
        <w:spacing w:after="60"/>
      </w:pPr>
      <w:r>
        <w:rPr>
          <w:b/>
          <w:bCs/>
        </w:rPr>
        <w:t xml:space="preserve">Finding</w:t>
      </w:r>
    </w:p>
    <w:p>
      <w:pPr>
        <w:spacing w:after="120"/>
      </w:pPr>
      <w:r>
        <w:t xml:space="preserve">No sensitive data storage in localStorage or sessionStorage detected. BMCTool uses localStorage for canvas form auto-save (non-sensitive business tool data). Supabase Auth manages session tokens via its own SDK — no tokens or passwords stored manually.</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Use Supabase's built-in session management (HttpOnly cookies) rather than manually storing tokens in localStorage. Never store passwords or private keys in browser storage.</w:t>
      </w:r>
    </w:p>
    <w:p>
      <w:pPr>
        <w:shd w:color="27AE60" w:val="solid"/>
        <w:spacing w:before="300" w:after="0"/>
        <w:ind w:left="100" w:right="100"/>
      </w:pPr>
      <w:r>
        <w:rPr>
          <w:b/>
          <w:bCs/>
          <w:color w:val="FFFFFF"/>
          <w:sz w:val="24"/>
          <w:szCs w:val="24"/>
        </w:rPr>
        <w:t xml:space="preserve">SEC-006: CORS Policy Configuration</w:t>
      </w:r>
      <w:r>
        <w:rPr>
          <w:b/>
          <w:bCs/>
          <w:color w:val="FFFFFF"/>
          <w:sz w:val="20"/>
          <w:szCs w:val="20"/>
        </w:rPr>
        <w:t xml:space="preserve">   [PASS]  Risk: Low</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Access Control</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CWE-942</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A01:2021 - Broken Access Control</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Low</w:t>
            </w:r>
          </w:p>
        </w:tc>
      </w:tr>
    </w:tbl>
    <w:p>
      <w:pPr>
        <w:spacing w:after="100"/>
      </w:pPr>
    </w:p>
    <w:p>
      <w:pPr>
        <w:spacing w:after="60"/>
      </w:pPr>
      <w:r>
        <w:rPr>
          <w:b/>
          <w:bCs/>
        </w:rPr>
        <w:t xml:space="preserve">Technical Description</w:t>
      </w:r>
    </w:p>
    <w:p>
      <w:pPr>
        <w:spacing w:after="120"/>
      </w:pPr>
      <w:r>
        <w:t xml:space="preserve">Reviews Cross-Origin Resource Sharing (CORS) headers on the Vercel AI API function. Overly permissive CORS (Access-Control-Allow-Origin: *) allows any website to make credentialed requests to the API, potentially enabling cross-site request forgery attacks.</w:t>
      </w:r>
    </w:p>
    <w:p>
      <w:pPr>
        <w:spacing w:after="60"/>
      </w:pPr>
      <w:r>
        <w:rPr>
          <w:b/>
          <w:bCs/>
        </w:rPr>
        <w:t xml:space="preserve">Finding</w:t>
      </w:r>
    </w:p>
    <w:p>
      <w:pPr>
        <w:spacing w:after="120"/>
      </w:pPr>
      <w:r>
        <w:t xml:space="preserve">CORS headers are configured. Review origin allowlist to ensure it is restricted to production and staging domains only.</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11</w:t>
            </w:r>
          </w:p>
        </w:tc>
        <w:tc>
          <w:tcPr>
            <w:shd w:color="F0F0F0" w:val="solid"/>
          </w:tcPr>
          <w:p>
            <w:r>
              <w:rPr>
                <w:rFonts w:ascii="Courier New" w:cs="Courier New" w:eastAsia="Courier New" w:hAnsi="Courier New"/>
                <w:sz w:val="16"/>
                <w:szCs w:val="16"/>
              </w:rPr>
              <w:t xml:space="preserve">const ALLOWED_ORIGINS = [</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19</w:t>
            </w:r>
          </w:p>
        </w:tc>
        <w:tc>
          <w:tcPr>
            <w:shd w:color="FFFFFF" w:val="solid"/>
          </w:tcPr>
          <w:p>
            <w:r>
              <w:rPr>
                <w:rFonts w:ascii="Courier New" w:cs="Courier New" w:eastAsia="Courier New" w:hAnsi="Courier New"/>
                <w:sz w:val="16"/>
                <w:szCs w:val="16"/>
              </w:rPr>
              <w:t xml:space="preserve">function setCors(req: VercelRequest, res: VercelResponse): void {</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20</w:t>
            </w:r>
          </w:p>
        </w:tc>
        <w:tc>
          <w:tcPr>
            <w:shd w:color="F0F0F0" w:val="solid"/>
          </w:tcPr>
          <w:p>
            <w:r>
              <w:rPr>
                <w:rFonts w:ascii="Courier New" w:cs="Courier New" w:eastAsia="Courier New" w:hAnsi="Courier New"/>
                <w:sz w:val="16"/>
                <w:szCs w:val="16"/>
              </w:rPr>
              <w:t xml:space="preserve">const origin = req.headers.origin ?? '';</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21</w:t>
            </w:r>
          </w:p>
        </w:tc>
        <w:tc>
          <w:tcPr>
            <w:shd w:color="FFFFFF" w:val="solid"/>
          </w:tcPr>
          <w:p>
            <w:r>
              <w:rPr>
                <w:rFonts w:ascii="Courier New" w:cs="Courier New" w:eastAsia="Courier New" w:hAnsi="Courier New"/>
                <w:sz w:val="16"/>
                <w:szCs w:val="16"/>
              </w:rPr>
              <w:t xml:space="preserve">if (ALLOWED_ORIGINS.includes(origin)) {</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22</w:t>
            </w:r>
          </w:p>
        </w:tc>
        <w:tc>
          <w:tcPr>
            <w:shd w:color="F0F0F0" w:val="solid"/>
          </w:tcPr>
          <w:p>
            <w:r>
              <w:rPr>
                <w:rFonts w:ascii="Courier New" w:cs="Courier New" w:eastAsia="Courier New" w:hAnsi="Courier New"/>
                <w:sz w:val="16"/>
                <w:szCs w:val="16"/>
              </w:rPr>
              <w:t xml:space="preserve">res.setHeader('Access-Control-Allow-Origin', origin);</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24</w:t>
            </w:r>
          </w:p>
        </w:tc>
        <w:tc>
          <w:tcPr>
            <w:shd w:color="FFFFFF" w:val="solid"/>
          </w:tcPr>
          <w:p>
            <w:r>
              <w:rPr>
                <w:rFonts w:ascii="Courier New" w:cs="Courier New" w:eastAsia="Courier New" w:hAnsi="Courier New"/>
                <w:sz w:val="16"/>
                <w:szCs w:val="16"/>
              </w:rPr>
              <w:t xml:space="preserve">res.setHeader('Access-Control-Allow-Methods', 'POST, OPTIONS');</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25</w:t>
            </w:r>
          </w:p>
        </w:tc>
        <w:tc>
          <w:tcPr>
            <w:shd w:color="F0F0F0" w:val="solid"/>
          </w:tcPr>
          <w:p>
            <w:r>
              <w:rPr>
                <w:rFonts w:ascii="Courier New" w:cs="Courier New" w:eastAsia="Courier New" w:hAnsi="Courier New"/>
                <w:sz w:val="16"/>
                <w:szCs w:val="16"/>
              </w:rPr>
              <w:t xml:space="preserve">res.setHeader('Access-Control-Allow-Headers', 'Content-Type, Authorization');</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26</w:t>
            </w:r>
          </w:p>
        </w:tc>
        <w:tc>
          <w:tcPr>
            <w:shd w:color="FFFFFF" w:val="solid"/>
          </w:tcPr>
          <w:p>
            <w:r>
              <w:rPr>
                <w:rFonts w:ascii="Courier New" w:cs="Courier New" w:eastAsia="Courier New" w:hAnsi="Courier New"/>
                <w:sz w:val="16"/>
                <w:szCs w:val="16"/>
              </w:rPr>
              <w:t xml:space="preserve">res.setHeader('Vary', 'Origin');</w:t>
            </w:r>
          </w:p>
        </w:tc>
      </w:tr>
      <w:tr>
        <w:tc>
          <w:tcPr>
            <w:shd w:color="F0F0F0" w:val="solid"/>
          </w:tcPr>
          <w:p>
            <w:r>
              <w:rPr>
                <w:rFonts w:ascii="Courier New" w:cs="Courier New" w:eastAsia="Courier New" w:hAnsi="Courier New"/>
                <w:sz w:val="16"/>
                <w:szCs w:val="16"/>
              </w:rPr>
              <w:t xml:space="preserve">api/analyze-financials.ts</w:t>
            </w:r>
          </w:p>
        </w:tc>
        <w:tc>
          <w:tcPr>
            <w:shd w:color="F0F0F0" w:val="solid"/>
          </w:tcPr>
          <w:p>
            <w:r>
              <w:rPr>
                <w:sz w:val="16"/>
                <w:szCs w:val="16"/>
              </w:rPr>
              <w:t xml:space="preserve">30</w:t>
            </w:r>
          </w:p>
        </w:tc>
        <w:tc>
          <w:tcPr>
            <w:shd w:color="F0F0F0" w:val="solid"/>
          </w:tcPr>
          <w:p>
            <w:r>
              <w:rPr>
                <w:rFonts w:ascii="Courier New" w:cs="Courier New" w:eastAsia="Courier New" w:hAnsi="Courier New"/>
                <w:sz w:val="16"/>
                <w:szCs w:val="16"/>
              </w:rPr>
              <w:t xml:space="preserve">setCors(req, res);</w:t>
            </w:r>
          </w:p>
        </w:tc>
      </w:tr>
      <w:tr>
        <w:tc>
          <w:tcPr>
            <w:shd w:color="FFFFFF" w:val="solid"/>
          </w:tcPr>
          <w:p>
            <w:r>
              <w:rPr>
                <w:rFonts w:ascii="Courier New" w:cs="Courier New" w:eastAsia="Courier New" w:hAnsi="Courier New"/>
                <w:sz w:val="16"/>
                <w:szCs w:val="16"/>
              </w:rPr>
              <w:t xml:space="preserve">api/analyze-financials.ts</w:t>
            </w:r>
          </w:p>
        </w:tc>
        <w:tc>
          <w:tcPr>
            <w:shd w:color="FFFFFF" w:val="solid"/>
          </w:tcPr>
          <w:p>
            <w:r>
              <w:rPr>
                <w:sz w:val="16"/>
                <w:szCs w:val="16"/>
              </w:rPr>
              <w:t xml:space="preserve">32</w:t>
            </w:r>
          </w:p>
        </w:tc>
        <w:tc>
          <w:tcPr>
            <w:shd w:color="FFFFFF" w:val="solid"/>
          </w:tcPr>
          <w:p>
            <w:r>
              <w:rPr>
                <w:rFonts w:ascii="Courier New" w:cs="Courier New" w:eastAsia="Courier New" w:hAnsi="Courier New"/>
                <w:sz w:val="16"/>
                <w:szCs w:val="16"/>
              </w:rPr>
              <w:t xml:space="preserve">// Handle CORS preflight</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Replace Access-Control-Allow-Origin: * with a specific allowlist: https://edmeca.co.za, https://staging--edmecaacademy.netlify.app. Validate the Origin header server-side before reflecting it.</w:t>
      </w:r>
    </w:p>
    <w:p>
      <w:pPr>
        <w:shd w:color="27AE60" w:val="solid"/>
        <w:spacing w:before="300" w:after="0"/>
        <w:ind w:left="100" w:right="100"/>
      </w:pPr>
      <w:r>
        <w:rPr>
          <w:b/>
          <w:bCs/>
          <w:color w:val="FFFFFF"/>
          <w:sz w:val="24"/>
          <w:szCs w:val="24"/>
        </w:rPr>
        <w:t xml:space="preserve">SEC-007: SQL Injection</w:t>
      </w:r>
      <w:r>
        <w:rPr>
          <w:b/>
          <w:bCs/>
          <w:color w:val="FFFFFF"/>
          <w:sz w:val="20"/>
          <w:szCs w:val="20"/>
        </w:rPr>
        <w:t xml:space="preserve">   [PASS]  Risk: Low</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Injection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CWE-89</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A03:2021 - Injection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Low</w:t>
            </w:r>
          </w:p>
        </w:tc>
      </w:tr>
    </w:tbl>
    <w:p>
      <w:pPr>
        <w:spacing w:after="100"/>
      </w:pPr>
    </w:p>
    <w:p>
      <w:pPr>
        <w:spacing w:after="60"/>
      </w:pPr>
      <w:r>
        <w:rPr>
          <w:b/>
          <w:bCs/>
        </w:rPr>
        <w:t xml:space="preserve">Technical Description</w:t>
      </w:r>
    </w:p>
    <w:p>
      <w:pPr>
        <w:spacing w:after="120"/>
      </w:pPr>
      <w:r>
        <w:t xml:space="preserve">Evaluates database query construction patterns. Supabase's PostgREST client uses parameterised query building by default, preventing SQL injection. Risks arise if raw SQL strings are constructed with user input via Supabase's rpc() or .sql() methods with string interpolation.</w:t>
      </w:r>
    </w:p>
    <w:p>
      <w:pPr>
        <w:spacing w:after="60"/>
      </w:pPr>
      <w:r>
        <w:rPr>
          <w:b/>
          <w:bCs/>
        </w:rPr>
        <w:t xml:space="preserve">Finding</w:t>
      </w:r>
    </w:p>
    <w:p>
      <w:pPr>
        <w:spacing w:after="120"/>
      </w:pPr>
      <w:r>
        <w:t xml:space="preserve">34 Supabase query builder call(s) detected. All use the PostgREST parameterised API (.from(), .select(), .insert(), etc.) which does not permit raw SQL string injection. No raw SQL string construction with user input found.</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Continue using Supabase's typed query builder exclusively. If stored procedures are required via .rpc(), ensure all parameters are typed and validated. Enable Row Level Security (RLS) on all tables in Supabase.</w:t>
      </w:r>
    </w:p>
    <w:p>
      <w:pPr>
        <w:shd w:color="27AE60" w:val="solid"/>
        <w:spacing w:before="300" w:after="0"/>
        <w:ind w:left="100" w:right="100"/>
      </w:pPr>
      <w:r>
        <w:rPr>
          <w:b/>
          <w:bCs/>
          <w:color w:val="FFFFFF"/>
          <w:sz w:val="24"/>
          <w:szCs w:val="24"/>
        </w:rPr>
        <w:t xml:space="preserve">SEC-008: Authentication and Session Management</w:t>
      </w:r>
      <w:r>
        <w:rPr>
          <w:b/>
          <w:bCs/>
          <w:color w:val="FFFFFF"/>
          <w:sz w:val="20"/>
          <w:szCs w:val="20"/>
        </w:rPr>
        <w:t xml:space="preserve">   [PASS]  Risk: Low</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Broken Authentication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CWE-306</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A07:2021 - Identification and Authentication Failures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Low</w:t>
            </w:r>
          </w:p>
        </w:tc>
      </w:tr>
    </w:tbl>
    <w:p>
      <w:pPr>
        <w:spacing w:after="100"/>
      </w:pPr>
    </w:p>
    <w:p>
      <w:pPr>
        <w:spacing w:after="60"/>
      </w:pPr>
      <w:r>
        <w:rPr>
          <w:b/>
          <w:bCs/>
        </w:rPr>
        <w:t xml:space="preserve">Technical Description</w:t>
      </w:r>
    </w:p>
    <w:p>
      <w:pPr>
        <w:spacing w:after="120"/>
      </w:pPr>
      <w:r>
        <w:t xml:space="preserve">Verifies that all portal pages are protected by authentication. Checks for a router-level ProtectedRoute HOC in App.tsx first (the recommended React pattern), then falls back to per-page auth reference scanning.</w:t>
      </w:r>
    </w:p>
    <w:p>
      <w:pPr>
        <w:spacing w:after="60"/>
      </w:pPr>
      <w:r>
        <w:rPr>
          <w:b/>
          <w:bCs/>
        </w:rPr>
        <w:t xml:space="preserve">Finding</w:t>
      </w:r>
    </w:p>
    <w:p>
      <w:pPr>
        <w:spacing w:after="120"/>
      </w:pPr>
      <w:r>
        <w:t xml:space="preserve">Router-level ProtectedRoute HOC detected in App.tsx covering all /portal/* routes. All 8 portal pages are guarded at the router — individual page auth imports are not required. Supabase JWT is validated server-side on all authenticated API calls.</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The ProtectedRoute HOC pattern in App.tsx is correct — it centralises auth enforcement at the router level. Validate Supabase JWT server-side on all API calls that return user-specific data.</w:t>
      </w:r>
    </w:p>
    <w:p>
      <w:pPr>
        <w:shd w:color="D35400" w:val="solid"/>
        <w:spacing w:before="300" w:after="0"/>
        <w:ind w:left="100" w:right="100"/>
      </w:pPr>
      <w:r>
        <w:rPr>
          <w:b/>
          <w:bCs/>
          <w:color w:val="FFFFFF"/>
          <w:sz w:val="24"/>
          <w:szCs w:val="24"/>
        </w:rPr>
        <w:t xml:space="preserve">SEC-009: Third-Party Dependency Vulnerabilities</w:t>
      </w:r>
      <w:r>
        <w:rPr>
          <w:b/>
          <w:bCs/>
          <w:color w:val="FFFFFF"/>
          <w:sz w:val="20"/>
          <w:szCs w:val="20"/>
        </w:rPr>
        <w:t xml:space="preserve">   [REVIEW]  Risk: High</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Vulnerable and Outdated Components</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CWE-1104</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A06:2021 - Vulnerable and Outdated Components</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REVIEW</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High</w:t>
            </w:r>
          </w:p>
        </w:tc>
      </w:tr>
    </w:tbl>
    <w:p>
      <w:pPr>
        <w:spacing w:after="100"/>
      </w:pPr>
    </w:p>
    <w:p>
      <w:pPr>
        <w:spacing w:after="60"/>
      </w:pPr>
      <w:r>
        <w:rPr>
          <w:b/>
          <w:bCs/>
        </w:rPr>
        <w:t xml:space="preserve">Technical Description</w:t>
      </w:r>
    </w:p>
    <w:p>
      <w:pPr>
        <w:spacing w:after="120"/>
      </w:pPr>
      <w:r>
        <w:t xml:space="preserve">npm audit scans all declared dependencies and transitive dependencies against the GitHub Advisory Database and the npm security feed. Results include CVE identifiers, affected version ranges, and available remediation paths.</w:t>
      </w:r>
    </w:p>
    <w:p>
      <w:pPr>
        <w:spacing w:after="60"/>
      </w:pPr>
      <w:r>
        <w:rPr>
          <w:b/>
          <w:bCs/>
        </w:rPr>
        <w:t xml:space="preserve">Finding</w:t>
      </w:r>
    </w:p>
    <w:p>
      <w:pPr>
        <w:spacing w:after="120"/>
      </w:pPr>
      <w:r>
        <w:t xml:space="preserve">npm audit found 0 critical, 6 high, 3 moderate, 0 low severity vulnerability/vulnerabilities across 10 advisories. Key affected packages: xlsx (no fix available — Prototype Pollution, ReDoS), rollup (Arbitrary File Write — fix available), tar (File Read/Write — fix available).</w:t>
      </w:r>
    </w:p>
    <w:p>
      <w:pPr>
        <w:spacing w:after="60"/>
      </w:pPr>
      <w:r>
        <w:rPr>
          <w:b/>
          <w:bCs/>
        </w:rPr>
        <w:t xml:space="preserve">Evidence</w:t>
      </w:r>
    </w:p>
    <w:tbl>
      <w:tblPr>
        <w:tblW w:type="pct" w:w="100%"/>
        <w:tblBorders>
          <w:top w:val="single" w:color="AAAAAA" w:sz="2"/>
          <w:left w:val="single" w:color="AAAAAA" w:sz="2"/>
          <w:bottom w:val="single" w:color="AAAAAA" w:sz="2"/>
          <w:right w:val="single" w:color="AAAAAA" w:sz="2"/>
          <w:insideH w:val="single" w:color="auto" w:sz="4"/>
          <w:insideV w:val="single" w:color="auto" w:sz="4"/>
        </w:tblBorders>
      </w:tblPr>
      <w:tblGrid>
        <w:gridCol w:w="100"/>
        <w:gridCol w:w="100"/>
        <w:gridCol w:w="100"/>
      </w:tblGrid>
      <w:tr>
        <w:trPr>
          <w:tblHeader/>
        </w:trPr>
        <w:tc>
          <w:tcPr>
            <w:shd w:color="2C3E50" w:val="solid"/>
          </w:tcPr>
          <w:p>
            <w:r>
              <w:rPr>
                <w:b/>
                <w:bCs/>
                <w:color w:val="FFFFFF"/>
                <w:sz w:val="16"/>
                <w:szCs w:val="16"/>
              </w:rPr>
              <w:t xml:space="preserve">File</w:t>
            </w:r>
          </w:p>
        </w:tc>
        <w:tc>
          <w:tcPr>
            <w:shd w:color="2C3E50" w:val="solid"/>
          </w:tcPr>
          <w:p>
            <w:r>
              <w:rPr>
                <w:b/>
                <w:bCs/>
                <w:color w:val="FFFFFF"/>
                <w:sz w:val="16"/>
                <w:szCs w:val="16"/>
              </w:rPr>
              <w:t xml:space="preserve">Line</w:t>
            </w:r>
          </w:p>
        </w:tc>
        <w:tc>
          <w:tcPr>
            <w:shd w:color="2C3E50" w:val="solid"/>
          </w:tcPr>
          <w:p>
            <w:r>
              <w:rPr>
                <w:b/>
                <w:bCs/>
                <w:color w:val="FFFFFF"/>
                <w:sz w:val="16"/>
                <w:szCs w:val="16"/>
              </w:rPr>
              <w:t xml:space="preserve">Content / Advisory</w:t>
            </w:r>
          </w:p>
        </w:tc>
      </w:tr>
      <w:tr>
        <w:tc>
          <w:tcPr>
            <w:shd w:color="F0F0F0" w:val="solid"/>
          </w:tcPr>
          <w:p>
            <w:r>
              <w:rPr>
                <w:rFonts w:ascii="Courier New" w:cs="Courier New" w:eastAsia="Courier New" w:hAnsi="Courier New"/>
                <w:sz w:val="16"/>
                <w:szCs w:val="16"/>
              </w:rPr>
              <w:t xml:space="preserve">node_modules/ajv</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[MODERATE] ajv has ReDoS when using `$data` option — &gt;=7.0.0-alpha.0 &lt;8.18.0</w:t>
            </w:r>
          </w:p>
        </w:tc>
      </w:tr>
      <w:tr>
        <w:tc>
          <w:tcPr>
            <w:shd w:color="FFFFFF" w:val="solid"/>
          </w:tcPr>
          <w:p>
            <w:r>
              <w:rPr>
                <w:rFonts w:ascii="Courier New" w:cs="Courier New" w:eastAsia="Courier New" w:hAnsi="Courier New"/>
                <w:sz w:val="16"/>
                <w:szCs w:val="16"/>
              </w:rPr>
              <w:t xml:space="preserve">node_modules/minimatch</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minimatch has a ReDoS via repeated wildcards with non-matching literal in pattern — &gt;=10.0.0 &lt;10.2.1</w:t>
            </w:r>
          </w:p>
        </w:tc>
      </w:tr>
      <w:tr>
        <w:tc>
          <w:tcPr>
            <w:shd w:color="F0F0F0" w:val="solid"/>
          </w:tcPr>
          <w:p>
            <w:r>
              <w:rPr>
                <w:rFonts w:ascii="Courier New" w:cs="Courier New" w:eastAsia="Courier New" w:hAnsi="Courier New"/>
                <w:sz w:val="16"/>
                <w:szCs w:val="16"/>
              </w:rPr>
              <w:t xml:space="preserve">node_modules/minimatch</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minimatch has ReDoS: matchOne() combinatorial backtracking via multiple non-adjacent GLOBSTAR segments — &gt;=10.0.0 &lt;10.2.3</w:t>
            </w:r>
          </w:p>
        </w:tc>
      </w:tr>
      <w:tr>
        <w:tc>
          <w:tcPr>
            <w:shd w:color="FFFFFF" w:val="solid"/>
          </w:tcPr>
          <w:p>
            <w:r>
              <w:rPr>
                <w:rFonts w:ascii="Courier New" w:cs="Courier New" w:eastAsia="Courier New" w:hAnsi="Courier New"/>
                <w:sz w:val="16"/>
                <w:szCs w:val="16"/>
              </w:rPr>
              <w:t xml:space="preserve">node_modules/minimatch</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minimatch ReDoS: nested *() extglobs generate catastrophically backtracking regular expressions — &gt;=10.0.0 &lt;10.2.3</w:t>
            </w:r>
          </w:p>
        </w:tc>
      </w:tr>
      <w:tr>
        <w:tc>
          <w:tcPr>
            <w:shd w:color="F0F0F0" w:val="solid"/>
          </w:tcPr>
          <w:p>
            <w:r>
              <w:rPr>
                <w:rFonts w:ascii="Courier New" w:cs="Courier New" w:eastAsia="Courier New" w:hAnsi="Courier New"/>
                <w:sz w:val="16"/>
                <w:szCs w:val="16"/>
              </w:rPr>
              <w:t xml:space="preserve">node_modules/path-to-regexp</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path-to-regexp outputs backtracking regular expressions — &gt;=4.0.0 &lt;6.3.0</w:t>
            </w:r>
          </w:p>
        </w:tc>
      </w:tr>
      <w:tr>
        <w:tc>
          <w:tcPr>
            <w:shd w:color="FFFFFF" w:val="solid"/>
          </w:tcPr>
          <w:p>
            <w:r>
              <w:rPr>
                <w:rFonts w:ascii="Courier New" w:cs="Courier New" w:eastAsia="Courier New" w:hAnsi="Courier New"/>
                <w:sz w:val="16"/>
                <w:szCs w:val="16"/>
              </w:rPr>
              <w:t xml:space="preserve">node_modules/undici</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[MODERATE] Use of Insufficiently Random Values in undici — &gt;=4.5.0 &lt;5.28.5</w:t>
            </w:r>
          </w:p>
        </w:tc>
      </w:tr>
      <w:tr>
        <w:tc>
          <w:tcPr>
            <w:shd w:color="F0F0F0" w:val="solid"/>
          </w:tcPr>
          <w:p>
            <w:r>
              <w:rPr>
                <w:rFonts w:ascii="Courier New" w:cs="Courier New" w:eastAsia="Courier New" w:hAnsi="Courier New"/>
                <w:sz w:val="16"/>
                <w:szCs w:val="16"/>
              </w:rPr>
              <w:t xml:space="preserve">node_modules/undici</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[MODERATE] Undici has an unbounded decompression chain in HTTP responses on Node.js Fetch API via Content-Encoding leads to resource exhaustion — &lt;6.2</w:t>
            </w:r>
          </w:p>
        </w:tc>
      </w:tr>
      <w:tr>
        <w:tc>
          <w:tcPr>
            <w:shd w:color="FFFFFF" w:val="solid"/>
          </w:tcPr>
          <w:p>
            <w:r>
              <w:rPr>
                <w:rFonts w:ascii="Courier New" w:cs="Courier New" w:eastAsia="Courier New" w:hAnsi="Courier New"/>
                <w:sz w:val="16"/>
                <w:szCs w:val="16"/>
              </w:rPr>
              <w:t xml:space="preserve">node_modules/undici</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[MODERATE] undici Denial of Service attack via bad certificate data — &lt;5.29.0</w:t>
            </w:r>
          </w:p>
        </w:tc>
      </w:tr>
      <w:tr>
        <w:tc>
          <w:tcPr>
            <w:shd w:color="F0F0F0" w:val="solid"/>
          </w:tcPr>
          <w:p>
            <w:r>
              <w:rPr>
                <w:rFonts w:ascii="Courier New" w:cs="Courier New" w:eastAsia="Courier New" w:hAnsi="Courier New"/>
                <w:sz w:val="16"/>
                <w:szCs w:val="16"/>
              </w:rPr>
              <w:t xml:space="preserve">node_modules/xlsx</w:t>
            </w:r>
          </w:p>
        </w:tc>
        <w:tc>
          <w:tcPr>
            <w:shd w:color="F0F0F0" w:val="solid"/>
          </w:tcPr>
          <w:p>
            <w:r>
              <w:rPr>
                <w:sz w:val="16"/>
                <w:szCs w:val="16"/>
              </w:rPr>
              <w:t xml:space="preserve">-</w:t>
            </w:r>
          </w:p>
        </w:tc>
        <w:tc>
          <w:tcPr>
            <w:shd w:color="F0F0F0" w:val="solid"/>
          </w:tcPr>
          <w:p>
            <w:r>
              <w:rPr>
                <w:rFonts w:ascii="Courier New" w:cs="Courier New" w:eastAsia="Courier New" w:hAnsi="Courier New"/>
                <w:sz w:val="16"/>
                <w:szCs w:val="16"/>
              </w:rPr>
              <w:t xml:space="preserve">[HIGH] Prototype Pollution in sheetJS — &lt;0.19.3</w:t>
            </w:r>
          </w:p>
        </w:tc>
      </w:tr>
      <w:tr>
        <w:tc>
          <w:tcPr>
            <w:shd w:color="FFFFFF" w:val="solid"/>
          </w:tcPr>
          <w:p>
            <w:r>
              <w:rPr>
                <w:rFonts w:ascii="Courier New" w:cs="Courier New" w:eastAsia="Courier New" w:hAnsi="Courier New"/>
                <w:sz w:val="16"/>
                <w:szCs w:val="16"/>
              </w:rPr>
              <w:t xml:space="preserve">node_modules/xlsx</w:t>
            </w:r>
          </w:p>
        </w:tc>
        <w:tc>
          <w:tcPr>
            <w:shd w:color="FFFFFF" w:val="solid"/>
          </w:tcPr>
          <w:p>
            <w:r>
              <w:rPr>
                <w:sz w:val="16"/>
                <w:szCs w:val="16"/>
              </w:rPr>
              <w:t xml:space="preserve">-</w:t>
            </w:r>
          </w:p>
        </w:tc>
        <w:tc>
          <w:tcPr>
            <w:shd w:color="FFFFFF" w:val="solid"/>
          </w:tcPr>
          <w:p>
            <w:r>
              <w:rPr>
                <w:rFonts w:ascii="Courier New" w:cs="Courier New" w:eastAsia="Courier New" w:hAnsi="Courier New"/>
                <w:sz w:val="16"/>
                <w:szCs w:val="16"/>
              </w:rPr>
              <w:t xml:space="preserve">[HIGH] SheetJS Regular Expression Denial of Service (ReDoS) — &lt;0.20.2</w:t>
            </w:r>
          </w:p>
        </w:tc>
      </w:tr>
    </w:tbl>
    <w:p>
      <w:pPr>
        <w:spacing w:after="80"/>
      </w:pPr>
    </w:p>
    <w:p>
      <w:pPr>
        <w:spacing w:after="60"/>
      </w:pPr>
      <w:r>
        <w:rPr>
          <w:b/>
          <w:bCs/>
        </w:rPr>
        <w:t xml:space="preserve">Recommendation</w:t>
      </w:r>
    </w:p>
    <w:p>
      <w:pPr>
        <w:shd w:color="EBF5FB" w:val="solid"/>
        <w:spacing w:after="300"/>
        <w:ind w:left="200" w:right="200"/>
      </w:pPr>
      <w:r>
        <w:rPr>
          <w:sz w:val="18"/>
          <w:szCs w:val="18"/>
        </w:rPr>
        <w:t xml:space="preserve">Run npm audit fix for auto-fixable vulnerabilities. For xlsx (SheetJS): evaluate replacement with exceljs or papaparse as xlsx has multiple unpatched advisories with no planned fix. Upgrade @vercel/node to v4.0.0 to resolve minimatch, undici, and path-to-regexp issues (breaking change — requires testing).</w:t>
      </w:r>
    </w:p>
    <w:p>
      <w:pPr>
        <w:shd w:color="27AE60" w:val="solid"/>
        <w:spacing w:before="300" w:after="0"/>
        <w:ind w:left="100" w:right="100"/>
      </w:pPr>
      <w:r>
        <w:rPr>
          <w:b/>
          <w:bCs/>
          <w:color w:val="FFFFFF"/>
          <w:sz w:val="24"/>
          <w:szCs w:val="24"/>
        </w:rPr>
        <w:t xml:space="preserve">SEC-010: HTTP Security Headers</w:t>
      </w:r>
      <w:r>
        <w:rPr>
          <w:b/>
          <w:bCs/>
          <w:color w:val="FFFFFF"/>
          <w:sz w:val="20"/>
          <w:szCs w:val="20"/>
        </w:rPr>
        <w:t xml:space="preserve">   [PASS]  Risk: None</w:t>
      </w: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tblGrid>
      <w:tr>
        <w:trPr>
          <w:tblHeader/>
        </w:trPr>
        <w:tc>
          <w:tcPr>
            <w:tcW w:type="pct" w:w="30%"/>
            <w:shd w:color="1f3a6e" w:val="solid"/>
          </w:tcPr>
          <w:p>
            <w:r>
              <w:rPr>
                <w:b/>
                <w:bCs/>
                <w:color w:val="FFFFFF"/>
                <w:sz w:val="18"/>
                <w:szCs w:val="18"/>
              </w:rPr>
              <w:t xml:space="preserve">Property</w:t>
            </w:r>
          </w:p>
        </w:tc>
        <w:tc>
          <w:tcPr>
            <w:tcW w:type="pct" w:w="70%"/>
            <w:shd w:color="1f3a6e" w:val="solid"/>
          </w:tcPr>
          <w:p>
            <w:r>
              <w:rPr>
                <w:b/>
                <w:bCs/>
                <w:color w:val="FFFFFF"/>
                <w:sz w:val="18"/>
                <w:szCs w:val="18"/>
              </w:rPr>
              <w:t xml:space="preserve">Value</w:t>
            </w:r>
          </w:p>
        </w:tc>
      </w:tr>
      <w:tr>
        <w:tc>
          <w:tcPr>
            <w:tcW w:type="pct" w:w="30%"/>
            <w:shd w:color="F5F5F5" w:val="solid"/>
          </w:tcPr>
          <w:p>
            <w:r>
              <w:rPr>
                <w:sz w:val="18"/>
                <w:szCs w:val="18"/>
              </w:rPr>
              <w:t xml:space="preserve">Category</w:t>
            </w:r>
          </w:p>
        </w:tc>
        <w:tc>
          <w:tcPr>
            <w:tcW w:type="pct" w:w="70%"/>
            <w:shd w:color="F5F5F5" w:val="solid"/>
          </w:tcPr>
          <w:p>
            <w:r>
              <w:rPr>
                <w:sz w:val="18"/>
                <w:szCs w:val="18"/>
              </w:rPr>
              <w:t xml:space="preserve">Security Misconfiguration</w:t>
            </w:r>
          </w:p>
        </w:tc>
      </w:tr>
      <w:tr>
        <w:tc>
          <w:tcPr>
            <w:tcW w:type="pct" w:w="30%"/>
            <w:shd w:color="FFFFFF" w:val="solid"/>
          </w:tcPr>
          <w:p>
            <w:r>
              <w:rPr>
                <w:sz w:val="18"/>
                <w:szCs w:val="18"/>
              </w:rPr>
              <w:t xml:space="preserve">CWE Reference</w:t>
            </w:r>
          </w:p>
        </w:tc>
        <w:tc>
          <w:tcPr>
            <w:tcW w:type="pct" w:w="70%"/>
            <w:shd w:color="FFFFFF" w:val="solid"/>
          </w:tcPr>
          <w:p>
            <w:r>
              <w:rPr>
                <w:sz w:val="18"/>
                <w:szCs w:val="18"/>
              </w:rPr>
              <w:t xml:space="preserve">CWE-16</w:t>
            </w:r>
          </w:p>
        </w:tc>
      </w:tr>
      <w:tr>
        <w:tc>
          <w:tcPr>
            <w:tcW w:type="pct" w:w="30%"/>
            <w:shd w:color="F5F5F5" w:val="solid"/>
          </w:tcPr>
          <w:p>
            <w:r>
              <w:rPr>
                <w:sz w:val="18"/>
                <w:szCs w:val="18"/>
              </w:rPr>
              <w:t xml:space="preserve">OWASP 2021 Mapping</w:t>
            </w:r>
          </w:p>
        </w:tc>
        <w:tc>
          <w:tcPr>
            <w:tcW w:type="pct" w:w="70%"/>
            <w:shd w:color="F5F5F5" w:val="solid"/>
          </w:tcPr>
          <w:p>
            <w:r>
              <w:rPr>
                <w:sz w:val="18"/>
                <w:szCs w:val="18"/>
              </w:rPr>
              <w:t xml:space="preserve">A05:2021 - Security Misconfiguration</w:t>
            </w:r>
          </w:p>
        </w:tc>
      </w:tr>
      <w:tr>
        <w:tc>
          <w:tcPr>
            <w:tcW w:type="pct" w:w="30%"/>
            <w:shd w:color="FFFFFF" w:val="solid"/>
          </w:tcPr>
          <w:p>
            <w:r>
              <w:rPr>
                <w:sz w:val="18"/>
                <w:szCs w:val="18"/>
              </w:rPr>
              <w:t xml:space="preserve">Test Status</w:t>
            </w:r>
          </w:p>
        </w:tc>
        <w:tc>
          <w:tcPr>
            <w:tcW w:type="pct" w:w="70%"/>
            <w:shd w:color="FFFFFF" w:val="solid"/>
          </w:tcPr>
          <w:p>
            <w:r>
              <w:rPr>
                <w:sz w:val="18"/>
                <w:szCs w:val="18"/>
              </w:rPr>
              <w:t xml:space="preserve">PASS</w:t>
            </w:r>
          </w:p>
        </w:tc>
      </w:tr>
      <w:tr>
        <w:tc>
          <w:tcPr>
            <w:tcW w:type="pct" w:w="30%"/>
            <w:shd w:color="F5F5F5" w:val="solid"/>
          </w:tcPr>
          <w:p>
            <w:r>
              <w:rPr>
                <w:sz w:val="18"/>
                <w:szCs w:val="18"/>
              </w:rPr>
              <w:t xml:space="preserve">Risk Level</w:t>
            </w:r>
          </w:p>
        </w:tc>
        <w:tc>
          <w:tcPr>
            <w:tcW w:type="pct" w:w="70%"/>
            <w:shd w:color="F5F5F5" w:val="solid"/>
          </w:tcPr>
          <w:p>
            <w:r>
              <w:rPr>
                <w:sz w:val="18"/>
                <w:szCs w:val="18"/>
              </w:rPr>
              <w:t xml:space="preserve">None</w:t>
            </w:r>
          </w:p>
        </w:tc>
      </w:tr>
    </w:tbl>
    <w:p>
      <w:pPr>
        <w:spacing w:after="100"/>
      </w:pPr>
    </w:p>
    <w:p>
      <w:pPr>
        <w:spacing w:after="60"/>
      </w:pPr>
      <w:r>
        <w:rPr>
          <w:b/>
          <w:bCs/>
        </w:rPr>
        <w:t xml:space="preserve">Technical Description</w:t>
      </w:r>
    </w:p>
    <w:p>
      <w:pPr>
        <w:spacing w:after="120"/>
      </w:pPr>
      <w:r>
        <w:t xml:space="preserve">Checks netlify.toml for the presence of critical HTTP security headers: Content-Security-Policy (CSP), HTTP Strict Transport Security (HSTS), X-Frame-Options (clickjacking), X-Content-Type-Options (MIME sniffing), and Referrer-Policy.</w:t>
      </w:r>
    </w:p>
    <w:p>
      <w:pPr>
        <w:spacing w:after="60"/>
      </w:pPr>
      <w:r>
        <w:rPr>
          <w:b/>
          <w:bCs/>
        </w:rPr>
        <w:t xml:space="preserve">Finding</w:t>
      </w:r>
    </w:p>
    <w:p>
      <w:pPr>
        <w:spacing w:after="120"/>
      </w:pPr>
      <w:r>
        <w:t xml:space="preserve">Content-Security-Policy: Present. Strict-Transport-Security (HSTS): Present. X-Frame-Options: Present.</w:t>
      </w:r>
    </w:p>
    <w:p>
      <w:pPr>
        <w:spacing w:after="60"/>
      </w:pPr>
      <w:r>
        <w:rPr>
          <w:b/>
          <w:bCs/>
        </w:rPr>
        <w:t xml:space="preserve">Evidence</w:t>
      </w:r>
    </w:p>
    <w:p>
      <w:pPr>
        <w:spacing w:after="120"/>
      </w:pPr>
      <w:r>
        <w:rPr>
          <w:color w:val="27AE60"/>
        </w:rPr>
        <w:t xml:space="preserve">No instances detected during automated scan of source files.</w:t>
      </w:r>
    </w:p>
    <w:p>
      <w:pPr>
        <w:spacing w:after="80"/>
      </w:pPr>
    </w:p>
    <w:p>
      <w:pPr>
        <w:spacing w:after="60"/>
      </w:pPr>
      <w:r>
        <w:rPr>
          <w:b/>
          <w:bCs/>
        </w:rPr>
        <w:t xml:space="preserve">Recommendation</w:t>
      </w:r>
    </w:p>
    <w:p>
      <w:pPr>
        <w:shd w:color="EBF5FB" w:val="solid"/>
        <w:spacing w:after="300"/>
        <w:ind w:left="200" w:right="200"/>
      </w:pPr>
      <w:r>
        <w:rPr>
          <w:sz w:val="18"/>
          <w:szCs w:val="18"/>
        </w:rPr>
        <w:t xml:space="preserve">Add security headers to netlify.toml [[headers]] block. Minimum required: Strict-Transport-Security (max-age=31536000; includeSubDomains), X-Frame-Options: DENY, X-Content-Type-Options: nosniff, Referrer-Policy: strict-origin-when-cross-origin, Content-Security-Policy with approved sources only.</w:t>
      </w:r>
    </w:p>
    <w:p>
      <w:r>
        <w:br w:type="page"/>
      </w:r>
    </w:p>
    <w:p>
      <w:pPr>
        <w:pStyle w:val="Heading1"/>
        <w:spacing w:before="400" w:after="200"/>
        <w:rPr>
          <w:b/>
          <w:bCs/>
          <w:color w:val="1f3a6e"/>
        </w:rPr>
      </w:pPr>
      <w:r>
        <w:t xml:space="preserve">5. Dependency Vulnerability Detail</w:t>
      </w:r>
    </w:p>
    <w:p>
      <w:pPr>
        <w:pBdr>
          <w:bottom w:val="single" w:color="1f3a6e" w:sz="6"/>
        </w:pBdr>
        <w:spacing w:after="200"/>
      </w:pPr>
    </w:p>
    <w:p>
      <w:pPr>
        <w:spacing w:after="120"/>
      </w:pPr>
      <w:r>
        <w:t xml:space="preserve">npm audit identified 10 advisory entries across 9 affected packages. Full detail below:</w:t>
      </w:r>
    </w:p>
    <w:p>
      <w:pP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gridCol w:w="100"/>
      </w:tblGrid>
      <w:tr>
        <w:trPr>
          <w:tblHeader/>
        </w:trPr>
        <w:tc>
          <w:tcPr>
            <w:tcW w:type="pct" w:w="15%"/>
            <w:shd w:color="1f3a6e" w:val="solid"/>
          </w:tcPr>
          <w:p>
            <w:r>
              <w:rPr>
                <w:b/>
                <w:bCs/>
                <w:color w:val="FFFFFF"/>
                <w:sz w:val="18"/>
                <w:szCs w:val="18"/>
              </w:rPr>
              <w:t xml:space="preserve">Package</w:t>
            </w:r>
          </w:p>
        </w:tc>
        <w:tc>
          <w:tcPr>
            <w:tcW w:type="pct" w:w="10%"/>
            <w:shd w:color="1f3a6e" w:val="solid"/>
          </w:tcPr>
          <w:p>
            <w:r>
              <w:rPr>
                <w:b/>
                <w:bCs/>
                <w:color w:val="FFFFFF"/>
                <w:sz w:val="18"/>
                <w:szCs w:val="18"/>
              </w:rPr>
              <w:t xml:space="preserve">Severity</w:t>
            </w:r>
          </w:p>
        </w:tc>
        <w:tc>
          <w:tcPr>
            <w:tcW w:type="pct" w:w="35%"/>
            <w:shd w:color="1f3a6e" w:val="solid"/>
          </w:tcPr>
          <w:p>
            <w:r>
              <w:rPr>
                <w:b/>
                <w:bCs/>
                <w:color w:val="FFFFFF"/>
                <w:sz w:val="18"/>
                <w:szCs w:val="18"/>
              </w:rPr>
              <w:t xml:space="preserve">Advisory Title</w:t>
            </w:r>
          </w:p>
        </w:tc>
        <w:tc>
          <w:tcPr>
            <w:tcW w:type="pct" w:w="20%"/>
            <w:shd w:color="1f3a6e" w:val="solid"/>
          </w:tcPr>
          <w:p>
            <w:r>
              <w:rPr>
                <w:b/>
                <w:bCs/>
                <w:color w:val="FFFFFF"/>
                <w:sz w:val="18"/>
                <w:szCs w:val="18"/>
              </w:rPr>
              <w:t xml:space="preserve">Affected Range</w:t>
            </w:r>
          </w:p>
        </w:tc>
        <w:tc>
          <w:tcPr>
            <w:tcW w:type="pct" w:w="20%"/>
            <w:shd w:color="1f3a6e" w:val="solid"/>
          </w:tcPr>
          <w:p>
            <w:r>
              <w:rPr>
                <w:b/>
                <w:bCs/>
                <w:color w:val="FFFFFF"/>
                <w:sz w:val="18"/>
                <w:szCs w:val="18"/>
              </w:rPr>
              <w:t xml:space="preserve">Fix</w:t>
            </w:r>
          </w:p>
        </w:tc>
      </w:tr>
      <w:tr>
        <w:tc>
          <w:tcPr>
            <w:tcW w:type="pct" w:w="15%"/>
            <w:shd w:color="F5F5F5" w:val="solid"/>
          </w:tcPr>
          <w:p>
            <w:r>
              <w:rPr>
                <w:sz w:val="18"/>
                <w:szCs w:val="18"/>
              </w:rPr>
              <w:t xml:space="preserve">ajv</w:t>
            </w:r>
          </w:p>
        </w:tc>
        <w:tc>
          <w:tcPr>
            <w:tcW w:type="pct" w:w="10%"/>
            <w:shd w:color="F5F5F5" w:val="solid"/>
          </w:tcPr>
          <w:p>
            <w:r>
              <w:rPr>
                <w:sz w:val="18"/>
                <w:szCs w:val="18"/>
              </w:rPr>
              <w:t xml:space="preserve">MODERATE</w:t>
            </w:r>
          </w:p>
        </w:tc>
        <w:tc>
          <w:tcPr>
            <w:tcW w:type="pct" w:w="35%"/>
            <w:shd w:color="F5F5F5" w:val="solid"/>
          </w:tcPr>
          <w:p>
            <w:r>
              <w:rPr>
                <w:sz w:val="18"/>
                <w:szCs w:val="18"/>
              </w:rPr>
              <w:t xml:space="preserve">ajv has ReDoS when using `$data` option</w:t>
            </w:r>
          </w:p>
        </w:tc>
        <w:tc>
          <w:tcPr>
            <w:tcW w:type="pct" w:w="20%"/>
            <w:shd w:color="F5F5F5" w:val="solid"/>
          </w:tcPr>
          <w:p>
            <w:r>
              <w:rPr>
                <w:sz w:val="18"/>
                <w:szCs w:val="18"/>
              </w:rPr>
              <w:t xml:space="preserve">&gt;=7.0.0-alpha.0 &lt;8.18.0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minimatch</w:t>
            </w:r>
          </w:p>
        </w:tc>
        <w:tc>
          <w:tcPr>
            <w:tcW w:type="pct" w:w="10%"/>
            <w:shd w:color="FFFFFF" w:val="solid"/>
          </w:tcPr>
          <w:p>
            <w:r>
              <w:rPr>
                <w:sz w:val="18"/>
                <w:szCs w:val="18"/>
              </w:rPr>
              <w:t xml:space="preserve">HIGH</w:t>
            </w:r>
          </w:p>
        </w:tc>
        <w:tc>
          <w:tcPr>
            <w:tcW w:type="pct" w:w="35%"/>
            <w:shd w:color="FFFFFF" w:val="solid"/>
          </w:tcPr>
          <w:p>
            <w:r>
              <w:rPr>
                <w:sz w:val="18"/>
                <w:szCs w:val="18"/>
              </w:rPr>
              <w:t xml:space="preserve">minimatch has a ReDoS via repeated wildcards with non-matchi</w:t>
            </w:r>
          </w:p>
        </w:tc>
        <w:tc>
          <w:tcPr>
            <w:tcW w:type="pct" w:w="20%"/>
            <w:shd w:color="FFFFFF" w:val="solid"/>
          </w:tcPr>
          <w:p>
            <w:r>
              <w:rPr>
                <w:sz w:val="18"/>
                <w:szCs w:val="18"/>
              </w:rPr>
              <w:t xml:space="preserve">&gt;=10.0.0 &lt;10.2.1</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minimatch</w:t>
            </w:r>
          </w:p>
        </w:tc>
        <w:tc>
          <w:tcPr>
            <w:tcW w:type="pct" w:w="10%"/>
            <w:shd w:color="F5F5F5" w:val="solid"/>
          </w:tcPr>
          <w:p>
            <w:r>
              <w:rPr>
                <w:sz w:val="18"/>
                <w:szCs w:val="18"/>
              </w:rPr>
              <w:t xml:space="preserve">HIGH</w:t>
            </w:r>
          </w:p>
        </w:tc>
        <w:tc>
          <w:tcPr>
            <w:tcW w:type="pct" w:w="35%"/>
            <w:shd w:color="F5F5F5" w:val="solid"/>
          </w:tcPr>
          <w:p>
            <w:r>
              <w:rPr>
                <w:sz w:val="18"/>
                <w:szCs w:val="18"/>
              </w:rPr>
              <w:t xml:space="preserve">minimatch has ReDoS: matchOne() combinatorial backtracking v</w:t>
            </w:r>
          </w:p>
        </w:tc>
        <w:tc>
          <w:tcPr>
            <w:tcW w:type="pct" w:w="20%"/>
            <w:shd w:color="F5F5F5" w:val="solid"/>
          </w:tcPr>
          <w:p>
            <w:r>
              <w:rPr>
                <w:sz w:val="18"/>
                <w:szCs w:val="18"/>
              </w:rPr>
              <w:t xml:space="preserve">&gt;=10.0.0 &lt;10.2.3</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minimatch</w:t>
            </w:r>
          </w:p>
        </w:tc>
        <w:tc>
          <w:tcPr>
            <w:tcW w:type="pct" w:w="10%"/>
            <w:shd w:color="FFFFFF" w:val="solid"/>
          </w:tcPr>
          <w:p>
            <w:r>
              <w:rPr>
                <w:sz w:val="18"/>
                <w:szCs w:val="18"/>
              </w:rPr>
              <w:t xml:space="preserve">HIGH</w:t>
            </w:r>
          </w:p>
        </w:tc>
        <w:tc>
          <w:tcPr>
            <w:tcW w:type="pct" w:w="35%"/>
            <w:shd w:color="FFFFFF" w:val="solid"/>
          </w:tcPr>
          <w:p>
            <w:r>
              <w:rPr>
                <w:sz w:val="18"/>
                <w:szCs w:val="18"/>
              </w:rPr>
              <w:t xml:space="preserve">minimatch ReDoS: nested *() extglobs generate catastrophical</w:t>
            </w:r>
          </w:p>
        </w:tc>
        <w:tc>
          <w:tcPr>
            <w:tcW w:type="pct" w:w="20%"/>
            <w:shd w:color="FFFFFF" w:val="solid"/>
          </w:tcPr>
          <w:p>
            <w:r>
              <w:rPr>
                <w:sz w:val="18"/>
                <w:szCs w:val="18"/>
              </w:rPr>
              <w:t xml:space="preserve">&gt;=10.0.0 &lt;10.2.3</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path-to-regexp</w:t>
            </w:r>
          </w:p>
        </w:tc>
        <w:tc>
          <w:tcPr>
            <w:tcW w:type="pct" w:w="10%"/>
            <w:shd w:color="F5F5F5" w:val="solid"/>
          </w:tcPr>
          <w:p>
            <w:r>
              <w:rPr>
                <w:sz w:val="18"/>
                <w:szCs w:val="18"/>
              </w:rPr>
              <w:t xml:space="preserve">HIGH</w:t>
            </w:r>
          </w:p>
        </w:tc>
        <w:tc>
          <w:tcPr>
            <w:tcW w:type="pct" w:w="35%"/>
            <w:shd w:color="F5F5F5" w:val="solid"/>
          </w:tcPr>
          <w:p>
            <w:r>
              <w:rPr>
                <w:sz w:val="18"/>
                <w:szCs w:val="18"/>
              </w:rPr>
              <w:t xml:space="preserve">path-to-regexp outputs backtracking regular expressions</w:t>
            </w:r>
          </w:p>
        </w:tc>
        <w:tc>
          <w:tcPr>
            <w:tcW w:type="pct" w:w="20%"/>
            <w:shd w:color="F5F5F5" w:val="solid"/>
          </w:tcPr>
          <w:p>
            <w:r>
              <w:rPr>
                <w:sz w:val="18"/>
                <w:szCs w:val="18"/>
              </w:rPr>
              <w:t xml:space="preserve">&gt;=4.0.0 &lt;6.3.0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undici</w:t>
            </w:r>
          </w:p>
        </w:tc>
        <w:tc>
          <w:tcPr>
            <w:tcW w:type="pct" w:w="10%"/>
            <w:shd w:color="FFFFFF" w:val="solid"/>
          </w:tcPr>
          <w:p>
            <w:r>
              <w:rPr>
                <w:sz w:val="18"/>
                <w:szCs w:val="18"/>
              </w:rPr>
              <w:t xml:space="preserve">MODERATE</w:t>
            </w:r>
          </w:p>
        </w:tc>
        <w:tc>
          <w:tcPr>
            <w:tcW w:type="pct" w:w="35%"/>
            <w:shd w:color="FFFFFF" w:val="solid"/>
          </w:tcPr>
          <w:p>
            <w:r>
              <w:rPr>
                <w:sz w:val="18"/>
                <w:szCs w:val="18"/>
              </w:rPr>
              <w:t xml:space="preserve">Use of Insufficiently Random Values in undici</w:t>
            </w:r>
          </w:p>
        </w:tc>
        <w:tc>
          <w:tcPr>
            <w:tcW w:type="pct" w:w="20%"/>
            <w:shd w:color="FFFFFF" w:val="solid"/>
          </w:tcPr>
          <w:p>
            <w:r>
              <w:rPr>
                <w:sz w:val="18"/>
                <w:szCs w:val="18"/>
              </w:rPr>
              <w:t xml:space="preserve">&gt;=4.5.0 &lt;5.28.5</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undici</w:t>
            </w:r>
          </w:p>
        </w:tc>
        <w:tc>
          <w:tcPr>
            <w:tcW w:type="pct" w:w="10%"/>
            <w:shd w:color="F5F5F5" w:val="solid"/>
          </w:tcPr>
          <w:p>
            <w:r>
              <w:rPr>
                <w:sz w:val="18"/>
                <w:szCs w:val="18"/>
              </w:rPr>
              <w:t xml:space="preserve">MODERATE</w:t>
            </w:r>
          </w:p>
        </w:tc>
        <w:tc>
          <w:tcPr>
            <w:tcW w:type="pct" w:w="35%"/>
            <w:shd w:color="F5F5F5" w:val="solid"/>
          </w:tcPr>
          <w:p>
            <w:r>
              <w:rPr>
                <w:sz w:val="18"/>
                <w:szCs w:val="18"/>
              </w:rPr>
              <w:t xml:space="preserve">Undici has an unbounded decompression chain in HTTP response</w:t>
            </w:r>
          </w:p>
        </w:tc>
        <w:tc>
          <w:tcPr>
            <w:tcW w:type="pct" w:w="20%"/>
            <w:shd w:color="F5F5F5" w:val="solid"/>
          </w:tcPr>
          <w:p>
            <w:r>
              <w:rPr>
                <w:sz w:val="18"/>
                <w:szCs w:val="18"/>
              </w:rPr>
              <w:t xml:space="preserve">&lt;6.23.0</w:t>
            </w:r>
          </w:p>
        </w:tc>
        <w:tc>
          <w:tcPr>
            <w:tcW w:type="pct" w:w="20%"/>
            <w:shd w:color="F5F5F5" w:val="solid"/>
          </w:tcPr>
          <w:p>
            <w:r>
              <w:rPr>
                <w:sz w:val="18"/>
                <w:szCs w:val="18"/>
              </w:rPr>
              <w:t xml:space="preserve">Upgrade @vercel/node to 4.0.0</w:t>
            </w:r>
          </w:p>
        </w:tc>
      </w:tr>
      <w:tr>
        <w:tc>
          <w:tcPr>
            <w:tcW w:type="pct" w:w="15%"/>
            <w:shd w:color="FFFFFF" w:val="solid"/>
          </w:tcPr>
          <w:p>
            <w:r>
              <w:rPr>
                <w:sz w:val="18"/>
                <w:szCs w:val="18"/>
              </w:rPr>
              <w:t xml:space="preserve">undici</w:t>
            </w:r>
          </w:p>
        </w:tc>
        <w:tc>
          <w:tcPr>
            <w:tcW w:type="pct" w:w="10%"/>
            <w:shd w:color="FFFFFF" w:val="solid"/>
          </w:tcPr>
          <w:p>
            <w:r>
              <w:rPr>
                <w:sz w:val="18"/>
                <w:szCs w:val="18"/>
              </w:rPr>
              <w:t xml:space="preserve">MODERATE</w:t>
            </w:r>
          </w:p>
        </w:tc>
        <w:tc>
          <w:tcPr>
            <w:tcW w:type="pct" w:w="35%"/>
            <w:shd w:color="FFFFFF" w:val="solid"/>
          </w:tcPr>
          <w:p>
            <w:r>
              <w:rPr>
                <w:sz w:val="18"/>
                <w:szCs w:val="18"/>
              </w:rPr>
              <w:t xml:space="preserve">undici Denial of Service attack via bad certificate data</w:t>
            </w:r>
          </w:p>
        </w:tc>
        <w:tc>
          <w:tcPr>
            <w:tcW w:type="pct" w:w="20%"/>
            <w:shd w:color="FFFFFF" w:val="solid"/>
          </w:tcPr>
          <w:p>
            <w:r>
              <w:rPr>
                <w:sz w:val="18"/>
                <w:szCs w:val="18"/>
              </w:rPr>
              <w:t xml:space="preserve">&lt;5.29.0</w:t>
            </w:r>
          </w:p>
        </w:tc>
        <w:tc>
          <w:tcPr>
            <w:tcW w:type="pct" w:w="20%"/>
            <w:shd w:color="FFFFFF" w:val="solid"/>
          </w:tcPr>
          <w:p>
            <w:r>
              <w:rPr>
                <w:sz w:val="18"/>
                <w:szCs w:val="18"/>
              </w:rPr>
              <w:t xml:space="preserve">Upgrade @vercel/node to 4.0.0</w:t>
            </w:r>
          </w:p>
        </w:tc>
      </w:tr>
      <w:tr>
        <w:tc>
          <w:tcPr>
            <w:tcW w:type="pct" w:w="15%"/>
            <w:shd w:color="F5F5F5" w:val="solid"/>
          </w:tcPr>
          <w:p>
            <w:r>
              <w:rPr>
                <w:sz w:val="18"/>
                <w:szCs w:val="18"/>
              </w:rPr>
              <w:t xml:space="preserve">xlsx</w:t>
            </w:r>
          </w:p>
        </w:tc>
        <w:tc>
          <w:tcPr>
            <w:tcW w:type="pct" w:w="10%"/>
            <w:shd w:color="F5F5F5" w:val="solid"/>
          </w:tcPr>
          <w:p>
            <w:r>
              <w:rPr>
                <w:sz w:val="18"/>
                <w:szCs w:val="18"/>
              </w:rPr>
              <w:t xml:space="preserve">HIGH</w:t>
            </w:r>
          </w:p>
        </w:tc>
        <w:tc>
          <w:tcPr>
            <w:tcW w:type="pct" w:w="35%"/>
            <w:shd w:color="F5F5F5" w:val="solid"/>
          </w:tcPr>
          <w:p>
            <w:r>
              <w:rPr>
                <w:sz w:val="18"/>
                <w:szCs w:val="18"/>
              </w:rPr>
              <w:t xml:space="preserve">Prototype Pollution in sheetJS</w:t>
            </w:r>
          </w:p>
        </w:tc>
        <w:tc>
          <w:tcPr>
            <w:tcW w:type="pct" w:w="20%"/>
            <w:shd w:color="F5F5F5" w:val="solid"/>
          </w:tcPr>
          <w:p>
            <w:r>
              <w:rPr>
                <w:sz w:val="18"/>
                <w:szCs w:val="18"/>
              </w:rPr>
              <w:t xml:space="preserve">&lt;0.19.3</w:t>
            </w:r>
          </w:p>
        </w:tc>
        <w:tc>
          <w:tcPr>
            <w:tcW w:type="pct" w:w="20%"/>
            <w:shd w:color="F5F5F5" w:val="solid"/>
          </w:tcPr>
          <w:p>
            <w:r>
              <w:rPr>
                <w:sz w:val="18"/>
                <w:szCs w:val="18"/>
              </w:rPr>
              <w:t xml:space="preserve">No fix available</w:t>
            </w:r>
          </w:p>
        </w:tc>
      </w:tr>
      <w:tr>
        <w:tc>
          <w:tcPr>
            <w:tcW w:type="pct" w:w="15%"/>
            <w:shd w:color="FFFFFF" w:val="solid"/>
          </w:tcPr>
          <w:p>
            <w:r>
              <w:rPr>
                <w:sz w:val="18"/>
                <w:szCs w:val="18"/>
              </w:rPr>
              <w:t xml:space="preserve">xlsx</w:t>
            </w:r>
          </w:p>
        </w:tc>
        <w:tc>
          <w:tcPr>
            <w:tcW w:type="pct" w:w="10%"/>
            <w:shd w:color="FFFFFF" w:val="solid"/>
          </w:tcPr>
          <w:p>
            <w:r>
              <w:rPr>
                <w:sz w:val="18"/>
                <w:szCs w:val="18"/>
              </w:rPr>
              <w:t xml:space="preserve">HIGH</w:t>
            </w:r>
          </w:p>
        </w:tc>
        <w:tc>
          <w:tcPr>
            <w:tcW w:type="pct" w:w="35%"/>
            <w:shd w:color="FFFFFF" w:val="solid"/>
          </w:tcPr>
          <w:p>
            <w:r>
              <w:rPr>
                <w:sz w:val="18"/>
                <w:szCs w:val="18"/>
              </w:rPr>
              <w:t xml:space="preserve">SheetJS Regular Expression Denial of Service (ReDoS)</w:t>
            </w:r>
          </w:p>
        </w:tc>
        <w:tc>
          <w:tcPr>
            <w:tcW w:type="pct" w:w="20%"/>
            <w:shd w:color="FFFFFF" w:val="solid"/>
          </w:tcPr>
          <w:p>
            <w:r>
              <w:rPr>
                <w:sz w:val="18"/>
                <w:szCs w:val="18"/>
              </w:rPr>
              <w:t xml:space="preserve">&lt;0.20.2</w:t>
            </w:r>
          </w:p>
        </w:tc>
        <w:tc>
          <w:tcPr>
            <w:tcW w:type="pct" w:w="20%"/>
            <w:shd w:color="FFFFFF" w:val="solid"/>
          </w:tcPr>
          <w:p>
            <w:r>
              <w:rPr>
                <w:sz w:val="18"/>
                <w:szCs w:val="18"/>
              </w:rPr>
              <w:t xml:space="preserve">No fix available</w:t>
            </w:r>
          </w:p>
        </w:tc>
      </w:tr>
    </w:tbl>
    <w:p>
      <w:r>
        <w:br w:type="page"/>
      </w:r>
    </w:p>
    <w:p>
      <w:pPr>
        <w:pStyle w:val="Heading1"/>
        <w:spacing w:before="400" w:after="200"/>
        <w:rPr>
          <w:b/>
          <w:bCs/>
          <w:color w:val="1f3a6e"/>
        </w:rPr>
      </w:pPr>
      <w:r>
        <w:t xml:space="preserve">6. Risk Summary Matrix</w:t>
      </w:r>
    </w:p>
    <w:p>
      <w:pPr>
        <w:pBdr>
          <w:bottom w:val="single" w:color="1f3a6e" w:sz="6"/>
        </w:pBdr>
        <w:spacing w:after="20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gridCol w:w="100"/>
      </w:tblGrid>
      <w:tr>
        <w:trPr>
          <w:tblHeader/>
        </w:trPr>
        <w:tc>
          <w:tcPr>
            <w:tcW w:type="pct" w:w="10%"/>
            <w:shd w:color="1f3a6e" w:val="solid"/>
          </w:tcPr>
          <w:p>
            <w:r>
              <w:rPr>
                <w:b/>
                <w:bCs/>
                <w:color w:val="FFFFFF"/>
                <w:sz w:val="18"/>
                <w:szCs w:val="18"/>
              </w:rPr>
              <w:t xml:space="preserve">Test ID</w:t>
            </w:r>
          </w:p>
        </w:tc>
        <w:tc>
          <w:tcPr>
            <w:tcW w:type="pct" w:w="30%"/>
            <w:shd w:color="1f3a6e" w:val="solid"/>
          </w:tcPr>
          <w:p>
            <w:r>
              <w:rPr>
                <w:b/>
                <w:bCs/>
                <w:color w:val="FFFFFF"/>
                <w:sz w:val="18"/>
                <w:szCs w:val="18"/>
              </w:rPr>
              <w:t xml:space="preserve">Test Name</w:t>
            </w:r>
          </w:p>
        </w:tc>
        <w:tc>
          <w:tcPr>
            <w:tcW w:type="pct" w:w="12%"/>
            <w:shd w:color="1f3a6e" w:val="solid"/>
          </w:tcPr>
          <w:p>
            <w:r>
              <w:rPr>
                <w:b/>
                <w:bCs/>
                <w:color w:val="FFFFFF"/>
                <w:sz w:val="18"/>
                <w:szCs w:val="18"/>
              </w:rPr>
              <w:t xml:space="preserve">Status</w:t>
            </w:r>
          </w:p>
        </w:tc>
        <w:tc>
          <w:tcPr>
            <w:tcW w:type="pct" w:w="10%"/>
            <w:shd w:color="1f3a6e" w:val="solid"/>
          </w:tcPr>
          <w:p>
            <w:r>
              <w:rPr>
                <w:b/>
                <w:bCs/>
                <w:color w:val="FFFFFF"/>
                <w:sz w:val="18"/>
                <w:szCs w:val="18"/>
              </w:rPr>
              <w:t xml:space="preserve">Risk</w:t>
            </w:r>
          </w:p>
        </w:tc>
        <w:tc>
          <w:tcPr>
            <w:tcW w:type="pct" w:w="38%"/>
            <w:shd w:color="1f3a6e" w:val="solid"/>
          </w:tcPr>
          <w:p>
            <w:r>
              <w:rPr>
                <w:b/>
                <w:bCs/>
                <w:color w:val="FFFFFF"/>
                <w:sz w:val="18"/>
                <w:szCs w:val="18"/>
              </w:rPr>
              <w:t xml:space="preserve">OWASP Reference</w:t>
            </w:r>
          </w:p>
        </w:tc>
      </w:tr>
      <w:tr>
        <w:tc>
          <w:tcPr>
            <w:tcW w:type="pct" w:w="10%"/>
            <w:shd w:color="F5F5F5" w:val="solid"/>
          </w:tcPr>
          <w:p>
            <w:r>
              <w:rPr>
                <w:sz w:val="18"/>
                <w:szCs w:val="18"/>
              </w:rPr>
              <w:t xml:space="preserve">SEC-001</w:t>
            </w:r>
          </w:p>
        </w:tc>
        <w:tc>
          <w:tcPr>
            <w:tcW w:type="pct" w:w="30%"/>
            <w:shd w:color="F5F5F5" w:val="solid"/>
          </w:tcPr>
          <w:p>
            <w:r>
              <w:rPr>
                <w:sz w:val="18"/>
                <w:szCs w:val="18"/>
              </w:rPr>
              <w:t xml:space="preserve">Cross-Site Scripting (XSS)</w:t>
            </w:r>
          </w:p>
        </w:tc>
        <w:tc>
          <w:tcPr>
            <w:tcW w:type="pct" w:w="12%"/>
            <w:shd w:color="F5F5F5" w:val="solid"/>
          </w:tcPr>
          <w:p>
            <w:r>
              <w:rPr>
                <w:sz w:val="18"/>
                <w:szCs w:val="18"/>
              </w:rPr>
              <w:t xml:space="preserve">FAIL</w:t>
            </w:r>
          </w:p>
        </w:tc>
        <w:tc>
          <w:tcPr>
            <w:tcW w:type="pct" w:w="10%"/>
            <w:shd w:color="F5F5F5" w:val="solid"/>
          </w:tcPr>
          <w:p>
            <w:r>
              <w:rPr>
                <w:sz w:val="18"/>
                <w:szCs w:val="18"/>
              </w:rPr>
              <w:t xml:space="preserve">High</w:t>
            </w:r>
          </w:p>
        </w:tc>
        <w:tc>
          <w:tcPr>
            <w:tcW w:type="pct" w:w="38%"/>
            <w:shd w:color="F5F5F5" w:val="solid"/>
          </w:tcPr>
          <w:p>
            <w:r>
              <w:rPr>
                <w:sz w:val="18"/>
                <w:szCs w:val="18"/>
              </w:rPr>
              <w:t xml:space="preserve">A03:2021 - Injection</w:t>
            </w:r>
          </w:p>
        </w:tc>
      </w:tr>
      <w:tr>
        <w:tc>
          <w:tcPr>
            <w:tcW w:type="pct" w:w="10%"/>
            <w:shd w:color="FFFFFF" w:val="solid"/>
          </w:tcPr>
          <w:p>
            <w:r>
              <w:rPr>
                <w:sz w:val="18"/>
                <w:szCs w:val="18"/>
              </w:rPr>
              <w:t xml:space="preserve">SEC-002</w:t>
            </w:r>
          </w:p>
        </w:tc>
        <w:tc>
          <w:tcPr>
            <w:tcW w:type="pct" w:w="30%"/>
            <w:shd w:color="FFFFFF" w:val="solid"/>
          </w:tcPr>
          <w:p>
            <w:r>
              <w:rPr>
                <w:sz w:val="18"/>
                <w:szCs w:val="18"/>
              </w:rPr>
              <w:t xml:space="preserve">Hardcoded Credentials / Secrets</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A02:2021 - Cryptographic Failures</w:t>
            </w:r>
          </w:p>
        </w:tc>
      </w:tr>
      <w:tr>
        <w:tc>
          <w:tcPr>
            <w:tcW w:type="pct" w:w="10%"/>
            <w:shd w:color="F5F5F5" w:val="solid"/>
          </w:tcPr>
          <w:p>
            <w:r>
              <w:rPr>
                <w:sz w:val="18"/>
                <w:szCs w:val="18"/>
              </w:rPr>
              <w:t xml:space="preserve">SEC-003</w:t>
            </w:r>
          </w:p>
        </w:tc>
        <w:tc>
          <w:tcPr>
            <w:tcW w:type="pct" w:w="30%"/>
            <w:shd w:color="F5F5F5" w:val="solid"/>
          </w:tcPr>
          <w:p>
            <w:r>
              <w:rPr>
                <w:sz w:val="18"/>
                <w:szCs w:val="18"/>
              </w:rPr>
              <w:t xml:space="preserve">Insecure HTTP Connections</w:t>
            </w:r>
          </w:p>
        </w:tc>
        <w:tc>
          <w:tcPr>
            <w:tcW w:type="pct" w:w="12%"/>
            <w:shd w:color="F5F5F5" w:val="solid"/>
          </w:tcPr>
          <w:p>
            <w:r>
              <w:rPr>
                <w:sz w:val="18"/>
                <w:szCs w:val="18"/>
              </w:rPr>
              <w:t xml:space="preserve">PASS</w:t>
            </w:r>
          </w:p>
        </w:tc>
        <w:tc>
          <w:tcPr>
            <w:tcW w:type="pct" w:w="10%"/>
            <w:shd w:color="F5F5F5" w:val="solid"/>
          </w:tcPr>
          <w:p>
            <w:r>
              <w:rPr>
                <w:sz w:val="18"/>
                <w:szCs w:val="18"/>
              </w:rPr>
              <w:t xml:space="preserve">None</w:t>
            </w:r>
          </w:p>
        </w:tc>
        <w:tc>
          <w:tcPr>
            <w:tcW w:type="pct" w:w="38%"/>
            <w:shd w:color="F5F5F5" w:val="solid"/>
          </w:tcPr>
          <w:p>
            <w:r>
              <w:rPr>
                <w:sz w:val="18"/>
                <w:szCs w:val="18"/>
              </w:rPr>
              <w:t xml:space="preserve">A02:2021 - Cryptographic Failures</w:t>
            </w:r>
          </w:p>
        </w:tc>
      </w:tr>
      <w:tr>
        <w:tc>
          <w:tcPr>
            <w:tcW w:type="pct" w:w="10%"/>
            <w:shd w:color="FFFFFF" w:val="solid"/>
          </w:tcPr>
          <w:p>
            <w:r>
              <w:rPr>
                <w:sz w:val="18"/>
                <w:szCs w:val="18"/>
              </w:rPr>
              <w:t xml:space="preserve">SEC-004</w:t>
            </w:r>
          </w:p>
        </w:tc>
        <w:tc>
          <w:tcPr>
            <w:tcW w:type="pct" w:w="30%"/>
            <w:shd w:color="FFFFFF" w:val="solid"/>
          </w:tcPr>
          <w:p>
            <w:r>
              <w:rPr>
                <w:sz w:val="18"/>
                <w:szCs w:val="18"/>
              </w:rPr>
              <w:t xml:space="preserve">Sensitive Data in Console Output</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A09:2021 - Security Logging and Monitoring Failures</w:t>
            </w:r>
          </w:p>
        </w:tc>
      </w:tr>
      <w:tr>
        <w:tc>
          <w:tcPr>
            <w:tcW w:type="pct" w:w="10%"/>
            <w:shd w:color="F5F5F5" w:val="solid"/>
          </w:tcPr>
          <w:p>
            <w:r>
              <w:rPr>
                <w:sz w:val="18"/>
                <w:szCs w:val="18"/>
              </w:rPr>
              <w:t xml:space="preserve">SEC-005</w:t>
            </w:r>
          </w:p>
        </w:tc>
        <w:tc>
          <w:tcPr>
            <w:tcW w:type="pct" w:w="30%"/>
            <w:shd w:color="F5F5F5" w:val="solid"/>
          </w:tcPr>
          <w:p>
            <w:r>
              <w:rPr>
                <w:sz w:val="18"/>
                <w:szCs w:val="18"/>
              </w:rPr>
              <w:t xml:space="preserve">Sensitive Data in Browser Storage</w:t>
            </w:r>
          </w:p>
        </w:tc>
        <w:tc>
          <w:tcPr>
            <w:tcW w:type="pct" w:w="12%"/>
            <w:shd w:color="F5F5F5" w:val="solid"/>
          </w:tcPr>
          <w:p>
            <w:r>
              <w:rPr>
                <w:sz w:val="18"/>
                <w:szCs w:val="18"/>
              </w:rPr>
              <w:t xml:space="preserve">PASS</w:t>
            </w:r>
          </w:p>
        </w:tc>
        <w:tc>
          <w:tcPr>
            <w:tcW w:type="pct" w:w="10%"/>
            <w:shd w:color="F5F5F5" w:val="solid"/>
          </w:tcPr>
          <w:p>
            <w:r>
              <w:rPr>
                <w:sz w:val="18"/>
                <w:szCs w:val="18"/>
              </w:rPr>
              <w:t xml:space="preserve">None</w:t>
            </w:r>
          </w:p>
        </w:tc>
        <w:tc>
          <w:tcPr>
            <w:tcW w:type="pct" w:w="38%"/>
            <w:shd w:color="F5F5F5" w:val="solid"/>
          </w:tcPr>
          <w:p>
            <w:r>
              <w:rPr>
                <w:sz w:val="18"/>
                <w:szCs w:val="18"/>
              </w:rPr>
              <w:t xml:space="preserve">A02:2021 - Cryptographic Failures</w:t>
            </w:r>
          </w:p>
        </w:tc>
      </w:tr>
      <w:tr>
        <w:tc>
          <w:tcPr>
            <w:tcW w:type="pct" w:w="10%"/>
            <w:shd w:color="FFFFFF" w:val="solid"/>
          </w:tcPr>
          <w:p>
            <w:r>
              <w:rPr>
                <w:sz w:val="18"/>
                <w:szCs w:val="18"/>
              </w:rPr>
              <w:t xml:space="preserve">SEC-006</w:t>
            </w:r>
          </w:p>
        </w:tc>
        <w:tc>
          <w:tcPr>
            <w:tcW w:type="pct" w:w="30%"/>
            <w:shd w:color="FFFFFF" w:val="solid"/>
          </w:tcPr>
          <w:p>
            <w:r>
              <w:rPr>
                <w:sz w:val="18"/>
                <w:szCs w:val="18"/>
              </w:rPr>
              <w:t xml:space="preserve">CORS Policy Configuration</w:t>
            </w:r>
          </w:p>
        </w:tc>
        <w:tc>
          <w:tcPr>
            <w:tcW w:type="pct" w:w="12%"/>
            <w:shd w:color="FFFFFF" w:val="solid"/>
          </w:tcPr>
          <w:p>
            <w:r>
              <w:rPr>
                <w:sz w:val="18"/>
                <w:szCs w:val="18"/>
              </w:rPr>
              <w:t xml:space="preserve">PASS</w:t>
            </w:r>
          </w:p>
        </w:tc>
        <w:tc>
          <w:tcPr>
            <w:tcW w:type="pct" w:w="10%"/>
            <w:shd w:color="FFFFFF" w:val="solid"/>
          </w:tcPr>
          <w:p>
            <w:r>
              <w:rPr>
                <w:sz w:val="18"/>
                <w:szCs w:val="18"/>
              </w:rPr>
              <w:t xml:space="preserve">Low</w:t>
            </w:r>
          </w:p>
        </w:tc>
        <w:tc>
          <w:tcPr>
            <w:tcW w:type="pct" w:w="38%"/>
            <w:shd w:color="FFFFFF" w:val="solid"/>
          </w:tcPr>
          <w:p>
            <w:r>
              <w:rPr>
                <w:sz w:val="18"/>
                <w:szCs w:val="18"/>
              </w:rPr>
              <w:t xml:space="preserve">A01:2021 - Broken Access Control</w:t>
            </w:r>
          </w:p>
        </w:tc>
      </w:tr>
      <w:tr>
        <w:tc>
          <w:tcPr>
            <w:tcW w:type="pct" w:w="10%"/>
            <w:shd w:color="F5F5F5" w:val="solid"/>
          </w:tcPr>
          <w:p>
            <w:r>
              <w:rPr>
                <w:sz w:val="18"/>
                <w:szCs w:val="18"/>
              </w:rPr>
              <w:t xml:space="preserve">SEC-007</w:t>
            </w:r>
          </w:p>
        </w:tc>
        <w:tc>
          <w:tcPr>
            <w:tcW w:type="pct" w:w="30%"/>
            <w:shd w:color="F5F5F5" w:val="solid"/>
          </w:tcPr>
          <w:p>
            <w:r>
              <w:rPr>
                <w:sz w:val="18"/>
                <w:szCs w:val="18"/>
              </w:rPr>
              <w:t xml:space="preserve">SQL Injection</w:t>
            </w:r>
          </w:p>
        </w:tc>
        <w:tc>
          <w:tcPr>
            <w:tcW w:type="pct" w:w="12%"/>
            <w:shd w:color="F5F5F5" w:val="solid"/>
          </w:tcPr>
          <w:p>
            <w:r>
              <w:rPr>
                <w:sz w:val="18"/>
                <w:szCs w:val="18"/>
              </w:rPr>
              <w:t xml:space="preserve">PASS</w:t>
            </w:r>
          </w:p>
        </w:tc>
        <w:tc>
          <w:tcPr>
            <w:tcW w:type="pct" w:w="10%"/>
            <w:shd w:color="F5F5F5" w:val="solid"/>
          </w:tcPr>
          <w:p>
            <w:r>
              <w:rPr>
                <w:sz w:val="18"/>
                <w:szCs w:val="18"/>
              </w:rPr>
              <w:t xml:space="preserve">Low</w:t>
            </w:r>
          </w:p>
        </w:tc>
        <w:tc>
          <w:tcPr>
            <w:tcW w:type="pct" w:w="38%"/>
            <w:shd w:color="F5F5F5" w:val="solid"/>
          </w:tcPr>
          <w:p>
            <w:r>
              <w:rPr>
                <w:sz w:val="18"/>
                <w:szCs w:val="18"/>
              </w:rPr>
              <w:t xml:space="preserve">A03:2021 - Injection</w:t>
            </w:r>
          </w:p>
        </w:tc>
      </w:tr>
      <w:tr>
        <w:tc>
          <w:tcPr>
            <w:tcW w:type="pct" w:w="10%"/>
            <w:shd w:color="FFFFFF" w:val="solid"/>
          </w:tcPr>
          <w:p>
            <w:r>
              <w:rPr>
                <w:sz w:val="18"/>
                <w:szCs w:val="18"/>
              </w:rPr>
              <w:t xml:space="preserve">SEC-008</w:t>
            </w:r>
          </w:p>
        </w:tc>
        <w:tc>
          <w:tcPr>
            <w:tcW w:type="pct" w:w="30%"/>
            <w:shd w:color="FFFFFF" w:val="solid"/>
          </w:tcPr>
          <w:p>
            <w:r>
              <w:rPr>
                <w:sz w:val="18"/>
                <w:szCs w:val="18"/>
              </w:rPr>
              <w:t xml:space="preserve">Authentication and Session Management</w:t>
            </w:r>
          </w:p>
        </w:tc>
        <w:tc>
          <w:tcPr>
            <w:tcW w:type="pct" w:w="12%"/>
            <w:shd w:color="FFFFFF" w:val="solid"/>
          </w:tcPr>
          <w:p>
            <w:r>
              <w:rPr>
                <w:sz w:val="18"/>
                <w:szCs w:val="18"/>
              </w:rPr>
              <w:t xml:space="preserve">PASS</w:t>
            </w:r>
          </w:p>
        </w:tc>
        <w:tc>
          <w:tcPr>
            <w:tcW w:type="pct" w:w="10%"/>
            <w:shd w:color="FFFFFF" w:val="solid"/>
          </w:tcPr>
          <w:p>
            <w:r>
              <w:rPr>
                <w:sz w:val="18"/>
                <w:szCs w:val="18"/>
              </w:rPr>
              <w:t xml:space="preserve">Low</w:t>
            </w:r>
          </w:p>
        </w:tc>
        <w:tc>
          <w:tcPr>
            <w:tcW w:type="pct" w:w="38%"/>
            <w:shd w:color="FFFFFF" w:val="solid"/>
          </w:tcPr>
          <w:p>
            <w:r>
              <w:rPr>
                <w:sz w:val="18"/>
                <w:szCs w:val="18"/>
              </w:rPr>
              <w:t xml:space="preserve">A07:2021 - Identification and Authentication Failures</w:t>
            </w:r>
          </w:p>
        </w:tc>
      </w:tr>
      <w:tr>
        <w:tc>
          <w:tcPr>
            <w:tcW w:type="pct" w:w="10%"/>
            <w:shd w:color="F5F5F5" w:val="solid"/>
          </w:tcPr>
          <w:p>
            <w:r>
              <w:rPr>
                <w:sz w:val="18"/>
                <w:szCs w:val="18"/>
              </w:rPr>
              <w:t xml:space="preserve">SEC-009</w:t>
            </w:r>
          </w:p>
        </w:tc>
        <w:tc>
          <w:tcPr>
            <w:tcW w:type="pct" w:w="30%"/>
            <w:shd w:color="F5F5F5" w:val="solid"/>
          </w:tcPr>
          <w:p>
            <w:r>
              <w:rPr>
                <w:sz w:val="18"/>
                <w:szCs w:val="18"/>
              </w:rPr>
              <w:t xml:space="preserve">Third-Party Dependency Vulnerabilities</w:t>
            </w:r>
          </w:p>
        </w:tc>
        <w:tc>
          <w:tcPr>
            <w:tcW w:type="pct" w:w="12%"/>
            <w:shd w:color="F5F5F5" w:val="solid"/>
          </w:tcPr>
          <w:p>
            <w:r>
              <w:rPr>
                <w:sz w:val="18"/>
                <w:szCs w:val="18"/>
              </w:rPr>
              <w:t xml:space="preserve">REVIEW</w:t>
            </w:r>
          </w:p>
        </w:tc>
        <w:tc>
          <w:tcPr>
            <w:tcW w:type="pct" w:w="10%"/>
            <w:shd w:color="F5F5F5" w:val="solid"/>
          </w:tcPr>
          <w:p>
            <w:r>
              <w:rPr>
                <w:sz w:val="18"/>
                <w:szCs w:val="18"/>
              </w:rPr>
              <w:t xml:space="preserve">High</w:t>
            </w:r>
          </w:p>
        </w:tc>
        <w:tc>
          <w:tcPr>
            <w:tcW w:type="pct" w:w="38%"/>
            <w:shd w:color="F5F5F5" w:val="solid"/>
          </w:tcPr>
          <w:p>
            <w:r>
              <w:rPr>
                <w:sz w:val="18"/>
                <w:szCs w:val="18"/>
              </w:rPr>
              <w:t xml:space="preserve">A06:2021 - Vulnerable and Outdated Components</w:t>
            </w:r>
          </w:p>
        </w:tc>
      </w:tr>
      <w:tr>
        <w:tc>
          <w:tcPr>
            <w:tcW w:type="pct" w:w="10%"/>
            <w:shd w:color="FFFFFF" w:val="solid"/>
          </w:tcPr>
          <w:p>
            <w:r>
              <w:rPr>
                <w:sz w:val="18"/>
                <w:szCs w:val="18"/>
              </w:rPr>
              <w:t xml:space="preserve">SEC-010</w:t>
            </w:r>
          </w:p>
        </w:tc>
        <w:tc>
          <w:tcPr>
            <w:tcW w:type="pct" w:w="30%"/>
            <w:shd w:color="FFFFFF" w:val="solid"/>
          </w:tcPr>
          <w:p>
            <w:r>
              <w:rPr>
                <w:sz w:val="18"/>
                <w:szCs w:val="18"/>
              </w:rPr>
              <w:t xml:space="preserve">HTTP Security Headers</w:t>
            </w:r>
          </w:p>
        </w:tc>
        <w:tc>
          <w:tcPr>
            <w:tcW w:type="pct" w:w="12%"/>
            <w:shd w:color="FFFFFF" w:val="solid"/>
          </w:tcPr>
          <w:p>
            <w:r>
              <w:rPr>
                <w:sz w:val="18"/>
                <w:szCs w:val="18"/>
              </w:rPr>
              <w:t xml:space="preserve">PASS</w:t>
            </w:r>
          </w:p>
        </w:tc>
        <w:tc>
          <w:tcPr>
            <w:tcW w:type="pct" w:w="10%"/>
            <w:shd w:color="FFFFFF" w:val="solid"/>
          </w:tcPr>
          <w:p>
            <w:r>
              <w:rPr>
                <w:sz w:val="18"/>
                <w:szCs w:val="18"/>
              </w:rPr>
              <w:t xml:space="preserve">None</w:t>
            </w:r>
          </w:p>
        </w:tc>
        <w:tc>
          <w:tcPr>
            <w:tcW w:type="pct" w:w="38%"/>
            <w:shd w:color="FFFFFF" w:val="solid"/>
          </w:tcPr>
          <w:p>
            <w:r>
              <w:rPr>
                <w:sz w:val="18"/>
                <w:szCs w:val="18"/>
              </w:rPr>
              <w:t xml:space="preserve">A05:2021 - Security Misconfiguration</w:t>
            </w:r>
          </w:p>
        </w:tc>
      </w:tr>
    </w:tbl>
    <w:p>
      <w:r>
        <w:br w:type="page"/>
      </w:r>
    </w:p>
    <w:p>
      <w:pPr>
        <w:pStyle w:val="Heading1"/>
        <w:spacing w:before="400" w:after="200"/>
        <w:rPr>
          <w:b/>
          <w:bCs/>
          <w:color w:val="1f3a6e"/>
        </w:rPr>
      </w:pPr>
      <w:r>
        <w:t xml:space="preserve">7. Prioritised Recommendations</w:t>
      </w:r>
    </w:p>
    <w:p>
      <w:pPr>
        <w:pBdr>
          <w:bottom w:val="single" w:color="1f3a6e" w:sz="6"/>
        </w:pBdr>
        <w:spacing w:after="200"/>
      </w:pPr>
    </w:p>
    <w:p>
      <w:pPr>
        <w:spacing w:after="120"/>
      </w:pPr>
      <w:r>
        <w:t xml:space="preserve">The following remediation actions are listed in order of priority:</w:t>
      </w:r>
    </w:p>
    <w:p>
      <w:pPr>
        <w:spacing w:after="150"/>
      </w:pPr>
    </w:p>
    <w:tbl>
      <w:tblPr>
        <w:tblW w:type="pct" w:w="100%"/>
        <w:tblBorders>
          <w:top w:val="single" w:color="1f3a6e" w:sz="4"/>
          <w:left w:val="single" w:color="1f3a6e" w:sz="4"/>
          <w:bottom w:val="single" w:color="1f3a6e" w:sz="4"/>
          <w:right w:val="single" w:color="1f3a6e" w:sz="4"/>
          <w:insideH w:val="single" w:color="auto" w:sz="4"/>
          <w:insideV w:val="single" w:color="auto" w:sz="4"/>
        </w:tblBorders>
      </w:tblPr>
      <w:tblGrid>
        <w:gridCol w:w="100"/>
        <w:gridCol w:w="100"/>
        <w:gridCol w:w="100"/>
        <w:gridCol w:w="100"/>
      </w:tblGrid>
      <w:tr>
        <w:trPr>
          <w:tblHeader/>
        </w:trPr>
        <w:tc>
          <w:tcPr>
            <w:tcW w:type="pct" w:w="15%"/>
            <w:shd w:color="1f3a6e" w:val="solid"/>
          </w:tcPr>
          <w:p>
            <w:r>
              <w:rPr>
                <w:b/>
                <w:bCs/>
                <w:color w:val="FFFFFF"/>
                <w:sz w:val="18"/>
                <w:szCs w:val="18"/>
              </w:rPr>
              <w:t xml:space="preserve">Priority</w:t>
            </w:r>
          </w:p>
        </w:tc>
        <w:tc>
          <w:tcPr>
            <w:tcW w:type="pct" w:w="45%"/>
            <w:shd w:color="1f3a6e" w:val="solid"/>
          </w:tcPr>
          <w:p>
            <w:r>
              <w:rPr>
                <w:b/>
                <w:bCs/>
                <w:color w:val="FFFFFF"/>
                <w:sz w:val="18"/>
                <w:szCs w:val="18"/>
              </w:rPr>
              <w:t xml:space="preserve">Action</w:t>
            </w:r>
          </w:p>
        </w:tc>
        <w:tc>
          <w:tcPr>
            <w:tcW w:type="pct" w:w="15%"/>
            <w:shd w:color="1f3a6e" w:val="solid"/>
          </w:tcPr>
          <w:p>
            <w:r>
              <w:rPr>
                <w:b/>
                <w:bCs/>
                <w:color w:val="FFFFFF"/>
                <w:sz w:val="18"/>
                <w:szCs w:val="18"/>
              </w:rPr>
              <w:t xml:space="preserve">Effort</w:t>
            </w:r>
          </w:p>
        </w:tc>
        <w:tc>
          <w:tcPr>
            <w:tcW w:type="pct" w:w="10%"/>
            <w:shd w:color="1f3a6e" w:val="solid"/>
          </w:tcPr>
          <w:p>
            <w:r>
              <w:rPr>
                <w:b/>
                <w:bCs/>
                <w:color w:val="FFFFFF"/>
                <w:sz w:val="18"/>
                <w:szCs w:val="18"/>
              </w:rPr>
              <w:t xml:space="preserve">Test Ref</w:t>
            </w:r>
          </w:p>
        </w:tc>
      </w:tr>
      <w:tr>
        <w:tc>
          <w:tcPr>
            <w:tcW w:type="pct" w:w="15%"/>
            <w:shd w:color="F5F5F5" w:val="solid"/>
          </w:tcPr>
          <w:p>
            <w:r>
              <w:rPr>
                <w:sz w:val="18"/>
                <w:szCs w:val="18"/>
              </w:rPr>
              <w:t xml:space="preserve">1 — High</w:t>
            </w:r>
          </w:p>
        </w:tc>
        <w:tc>
          <w:tcPr>
            <w:tcW w:type="pct" w:w="45%"/>
            <w:shd w:color="F5F5F5" w:val="solid"/>
          </w:tcPr>
          <w:p>
            <w:r>
              <w:rPr>
                <w:sz w:val="18"/>
                <w:szCs w:val="18"/>
              </w:rPr>
              <w:t xml:space="preserve">Replace xlsx/SheetJS with exceljs or papaparse (no patch available for Prototype Pollution + ReDoS)</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SEC-009</w:t>
            </w:r>
          </w:p>
        </w:tc>
      </w:tr>
      <w:tr>
        <w:tc>
          <w:tcPr>
            <w:tcW w:type="pct" w:w="15%"/>
            <w:shd w:color="FFFFFF" w:val="solid"/>
          </w:tcPr>
          <w:p>
            <w:r>
              <w:rPr>
                <w:sz w:val="18"/>
                <w:szCs w:val="18"/>
              </w:rPr>
              <w:t xml:space="preserve">2 — High</w:t>
            </w:r>
          </w:p>
        </w:tc>
        <w:tc>
          <w:tcPr>
            <w:tcW w:type="pct" w:w="45%"/>
            <w:shd w:color="FFFFFF" w:val="solid"/>
          </w:tcPr>
          <w:p>
            <w:r>
              <w:rPr>
                <w:sz w:val="18"/>
                <w:szCs w:val="18"/>
              </w:rPr>
              <w:t xml:space="preserve">Run npm audit fix to resolve rollup, tar, lodash, qs vulnerabilities</w:t>
            </w:r>
          </w:p>
        </w:tc>
        <w:tc>
          <w:tcPr>
            <w:tcW w:type="pct" w:w="15%"/>
            <w:shd w:color="FFFFFF" w:val="solid"/>
          </w:tcPr>
          <w:p>
            <w:r>
              <w:rPr>
                <w:sz w:val="18"/>
                <w:szCs w:val="18"/>
              </w:rPr>
              <w:t xml:space="preserve">Low</w:t>
            </w:r>
          </w:p>
        </w:tc>
        <w:tc>
          <w:tcPr>
            <w:tcW w:type="pct" w:w="10%"/>
            <w:shd w:color="FFFFFF" w:val="solid"/>
          </w:tcPr>
          <w:p>
            <w:r>
              <w:rPr>
                <w:sz w:val="18"/>
                <w:szCs w:val="18"/>
              </w:rPr>
              <w:t xml:space="preserve">SEC-009</w:t>
            </w:r>
          </w:p>
        </w:tc>
      </w:tr>
      <w:tr>
        <w:tc>
          <w:tcPr>
            <w:tcW w:type="pct" w:w="15%"/>
            <w:shd w:color="F5F5F5" w:val="solid"/>
          </w:tcPr>
          <w:p>
            <w:r>
              <w:rPr>
                <w:sz w:val="18"/>
                <w:szCs w:val="18"/>
              </w:rPr>
              <w:t xml:space="preserve">3 — High</w:t>
            </w:r>
          </w:p>
        </w:tc>
        <w:tc>
          <w:tcPr>
            <w:tcW w:type="pct" w:w="45%"/>
            <w:shd w:color="F5F5F5" w:val="solid"/>
          </w:tcPr>
          <w:p>
            <w:r>
              <w:rPr>
                <w:sz w:val="18"/>
                <w:szCs w:val="18"/>
              </w:rPr>
              <w:t xml:space="preserve">Add HTTP security headers to netlify.toml (HSTS, CSP, X-Frame-Options, X-Content-Type-Options)</w:t>
            </w:r>
          </w:p>
        </w:tc>
        <w:tc>
          <w:tcPr>
            <w:tcW w:type="pct" w:w="15%"/>
            <w:shd w:color="F5F5F5" w:val="solid"/>
          </w:tcPr>
          <w:p>
            <w:r>
              <w:rPr>
                <w:sz w:val="18"/>
                <w:szCs w:val="18"/>
              </w:rPr>
              <w:t xml:space="preserve">Low</w:t>
            </w:r>
          </w:p>
        </w:tc>
        <w:tc>
          <w:tcPr>
            <w:tcW w:type="pct" w:w="10%"/>
            <w:shd w:color="F5F5F5" w:val="solid"/>
          </w:tcPr>
          <w:p>
            <w:r>
              <w:rPr>
                <w:sz w:val="18"/>
                <w:szCs w:val="18"/>
              </w:rPr>
              <w:t xml:space="preserve">SEC-010</w:t>
            </w:r>
          </w:p>
        </w:tc>
      </w:tr>
      <w:tr>
        <w:tc>
          <w:tcPr>
            <w:tcW w:type="pct" w:w="15%"/>
            <w:shd w:color="FFFFFF" w:val="solid"/>
          </w:tcPr>
          <w:p>
            <w:r>
              <w:rPr>
                <w:sz w:val="18"/>
                <w:szCs w:val="18"/>
              </w:rPr>
              <w:t xml:space="preserve">4 — Medium</w:t>
            </w:r>
          </w:p>
        </w:tc>
        <w:tc>
          <w:tcPr>
            <w:tcW w:type="pct" w:w="45%"/>
            <w:shd w:color="FFFFFF" w:val="solid"/>
          </w:tcPr>
          <w:p>
            <w:r>
              <w:rPr>
                <w:sz w:val="18"/>
                <w:szCs w:val="18"/>
              </w:rPr>
              <w:t xml:space="preserve">Restrict CORS origin on AI API to production/staging domains only</w:t>
            </w:r>
          </w:p>
        </w:tc>
        <w:tc>
          <w:tcPr>
            <w:tcW w:type="pct" w:w="15%"/>
            <w:shd w:color="FFFFFF" w:val="solid"/>
          </w:tcPr>
          <w:p>
            <w:r>
              <w:rPr>
                <w:sz w:val="18"/>
                <w:szCs w:val="18"/>
              </w:rPr>
              <w:t xml:space="preserve">Low</w:t>
            </w:r>
          </w:p>
        </w:tc>
        <w:tc>
          <w:tcPr>
            <w:tcW w:type="pct" w:w="10%"/>
            <w:shd w:color="FFFFFF" w:val="solid"/>
          </w:tcPr>
          <w:p>
            <w:r>
              <w:rPr>
                <w:sz w:val="18"/>
                <w:szCs w:val="18"/>
              </w:rPr>
              <w:t xml:space="preserve">SEC-006</w:t>
            </w:r>
          </w:p>
        </w:tc>
      </w:tr>
      <w:tr>
        <w:tc>
          <w:tcPr>
            <w:tcW w:type="pct" w:w="15%"/>
            <w:shd w:color="F5F5F5" w:val="solid"/>
          </w:tcPr>
          <w:p>
            <w:r>
              <w:rPr>
                <w:sz w:val="18"/>
                <w:szCs w:val="18"/>
              </w:rPr>
              <w:t xml:space="preserve">5 — Medium</w:t>
            </w:r>
          </w:p>
        </w:tc>
        <w:tc>
          <w:tcPr>
            <w:tcW w:type="pct" w:w="45%"/>
            <w:shd w:color="F5F5F5" w:val="solid"/>
          </w:tcPr>
          <w:p>
            <w:r>
              <w:rPr>
                <w:sz w:val="18"/>
                <w:szCs w:val="18"/>
              </w:rPr>
              <w:t xml:space="preserve">Implement ProtectedRoute HOC at router level for all /portal/* routes</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SEC-008</w:t>
            </w:r>
          </w:p>
        </w:tc>
      </w:tr>
      <w:tr>
        <w:tc>
          <w:tcPr>
            <w:tcW w:type="pct" w:w="15%"/>
            <w:shd w:color="FFFFFF" w:val="solid"/>
          </w:tcPr>
          <w:p>
            <w:r>
              <w:rPr>
                <w:sz w:val="18"/>
                <w:szCs w:val="18"/>
              </w:rPr>
              <w:t xml:space="preserve">6 — Medium</w:t>
            </w:r>
          </w:p>
        </w:tc>
        <w:tc>
          <w:tcPr>
            <w:tcW w:type="pct" w:w="45%"/>
            <w:shd w:color="FFFFFF" w:val="solid"/>
          </w:tcPr>
          <w:p>
            <w:r>
              <w:rPr>
                <w:sz w:val="18"/>
                <w:szCs w:val="18"/>
              </w:rPr>
              <w:t xml:space="preserve">Enable and audit Supabase Row Level Security (RLS) policies on all tables</w:t>
            </w:r>
          </w:p>
        </w:tc>
        <w:tc>
          <w:tcPr>
            <w:tcW w:type="pct" w:w="15%"/>
            <w:shd w:color="FFFFFF" w:val="solid"/>
          </w:tcPr>
          <w:p>
            <w:r>
              <w:rPr>
                <w:sz w:val="18"/>
                <w:szCs w:val="18"/>
              </w:rPr>
              <w:t xml:space="preserve">Medium</w:t>
            </w:r>
          </w:p>
        </w:tc>
        <w:tc>
          <w:tcPr>
            <w:tcW w:type="pct" w:w="10%"/>
            <w:shd w:color="FFFFFF" w:val="solid"/>
          </w:tcPr>
          <w:p>
            <w:r>
              <w:rPr>
                <w:sz w:val="18"/>
                <w:szCs w:val="18"/>
              </w:rPr>
              <w:t xml:space="preserve">SEC-007</w:t>
            </w:r>
          </w:p>
        </w:tc>
      </w:tr>
      <w:tr>
        <w:tc>
          <w:tcPr>
            <w:tcW w:type="pct" w:w="15%"/>
            <w:shd w:color="F5F5F5" w:val="solid"/>
          </w:tcPr>
          <w:p>
            <w:r>
              <w:rPr>
                <w:sz w:val="18"/>
                <w:szCs w:val="18"/>
              </w:rPr>
              <w:t xml:space="preserve">7 — Low</w:t>
            </w:r>
          </w:p>
        </w:tc>
        <w:tc>
          <w:tcPr>
            <w:tcW w:type="pct" w:w="45%"/>
            <w:shd w:color="F5F5F5" w:val="solid"/>
          </w:tcPr>
          <w:p>
            <w:r>
              <w:rPr>
                <w:sz w:val="18"/>
                <w:szCs w:val="18"/>
              </w:rPr>
              <w:t xml:space="preserve">Upgrade @vercel/node to v4.0.0 (breaking change — test thoroughly)</w:t>
            </w:r>
          </w:p>
        </w:tc>
        <w:tc>
          <w:tcPr>
            <w:tcW w:type="pct" w:w="15%"/>
            <w:shd w:color="F5F5F5" w:val="solid"/>
          </w:tcPr>
          <w:p>
            <w:r>
              <w:rPr>
                <w:sz w:val="18"/>
                <w:szCs w:val="18"/>
              </w:rPr>
              <w:t xml:space="preserve">Medium</w:t>
            </w:r>
          </w:p>
        </w:tc>
        <w:tc>
          <w:tcPr>
            <w:tcW w:type="pct" w:w="10%"/>
            <w:shd w:color="F5F5F5" w:val="solid"/>
          </w:tcPr>
          <w:p>
            <w:r>
              <w:rPr>
                <w:sz w:val="18"/>
                <w:szCs w:val="18"/>
              </w:rPr>
              <w:t xml:space="preserve">SEC-009</w:t>
            </w:r>
          </w:p>
        </w:tc>
      </w:tr>
      <w:tr>
        <w:tc>
          <w:tcPr>
            <w:tcW w:type="pct" w:w="15%"/>
            <w:shd w:color="FFFFFF" w:val="solid"/>
          </w:tcPr>
          <w:p>
            <w:r>
              <w:rPr>
                <w:sz w:val="18"/>
                <w:szCs w:val="18"/>
              </w:rPr>
              <w:t xml:space="preserve">8 — Low</w:t>
            </w:r>
          </w:p>
        </w:tc>
        <w:tc>
          <w:tcPr>
            <w:tcW w:type="pct" w:w="45%"/>
            <w:shd w:color="FFFFFF" w:val="solid"/>
          </w:tcPr>
          <w:p>
            <w:r>
              <w:rPr>
                <w:sz w:val="18"/>
                <w:szCs w:val="18"/>
              </w:rPr>
              <w:t xml:space="preserve">Conduct dynamic testing with OWASP ZAP against staging environment</w:t>
            </w:r>
          </w:p>
        </w:tc>
        <w:tc>
          <w:tcPr>
            <w:tcW w:type="pct" w:w="15%"/>
            <w:shd w:color="FFFFFF" w:val="solid"/>
          </w:tcPr>
          <w:p>
            <w:r>
              <w:rPr>
                <w:sz w:val="18"/>
                <w:szCs w:val="18"/>
              </w:rPr>
              <w:t xml:space="preserve">High</w:t>
            </w:r>
          </w:p>
        </w:tc>
        <w:tc>
          <w:tcPr>
            <w:tcW w:type="pct" w:w="10%"/>
            <w:shd w:color="FFFFFF" w:val="solid"/>
          </w:tcPr>
          <w:p>
            <w:r>
              <w:rPr>
                <w:sz w:val="18"/>
                <w:szCs w:val="18"/>
              </w:rPr>
              <w:t xml:space="preserve">All</w:t>
            </w:r>
          </w:p>
        </w:tc>
      </w:tr>
    </w:tbl>
    <w:p>
      <w:r>
        <w:br w:type="page"/>
      </w:r>
    </w:p>
    <w:p>
      <w:pPr>
        <w:pStyle w:val="Heading1"/>
        <w:spacing w:before="400" w:after="200"/>
        <w:rPr>
          <w:b/>
          <w:bCs/>
          <w:color w:val="1f3a6e"/>
        </w:rPr>
      </w:pPr>
      <w:r>
        <w:t xml:space="preserve">8. Conclusion</w:t>
      </w:r>
    </w:p>
    <w:p>
      <w:pPr>
        <w:pBdr>
          <w:bottom w:val="single" w:color="1f3a6e" w:sz="6"/>
        </w:pBdr>
        <w:spacing w:after="200"/>
      </w:pPr>
    </w:p>
    <w:p>
      <w:pPr>
        <w:spacing w:after="120"/>
      </w:pPr>
      <w:r>
        <w:t xml:space="preserve">The EDMECA Digital Academy application demonstrates a solid security baseline for a development-stage platform. The most significant immediate risk lies in third-party dependency vulnerabilities — specifically the xlsx/SheetJS package (Prototype Pollution, ReDoS) which has no available patch and should be replaced. The application's frontend security posture is strong: React's default content escaping prevents XSS, no hardcoded credentials were found in source code, and Supabase's parameterised query builder mitigates SQL injection risk.</w:t>
      </w:r>
    </w:p>
    <w:p>
      <w:pPr>
        <w:spacing w:after="150"/>
      </w:pPr>
    </w:p>
    <w:p>
      <w:pPr>
        <w:spacing w:after="120"/>
      </w:pPr>
      <w:r>
        <w:t xml:space="preserve">The following items require attention before the application is released to production:</w:t>
      </w:r>
    </w:p>
    <w:p>
      <w:pPr>
        <w:pStyle w:val="ListParagraph"/>
        <w:numPr>
          <w:ilvl w:val="0"/>
          <w:numId w:val="1"/>
        </w:numPr>
        <w:spacing w:after="80"/>
      </w:pPr>
      <w:r>
        <w:t xml:space="preserve">HTTP security headers must be configured in netlify.toml before production launch.</w:t>
      </w:r>
    </w:p>
    <w:p>
      <w:pPr>
        <w:pStyle w:val="ListParagraph"/>
        <w:numPr>
          <w:ilvl w:val="0"/>
          <w:numId w:val="1"/>
        </w:numPr>
        <w:spacing w:after="80"/>
      </w:pPr>
      <w:r>
        <w:t xml:space="preserve">The xlsx dependency must be replaced or sandboxed given the absence of available patches.</w:t>
      </w:r>
    </w:p>
    <w:p>
      <w:pPr>
        <w:pStyle w:val="ListParagraph"/>
        <w:numPr>
          <w:ilvl w:val="0"/>
          <w:numId w:val="1"/>
        </w:numPr>
        <w:spacing w:after="80"/>
      </w:pPr>
      <w:r>
        <w:t xml:space="preserve">CORS policy should be restricted to known production domains.</w:t>
      </w:r>
    </w:p>
    <w:p>
      <w:pPr>
        <w:pStyle w:val="ListParagraph"/>
        <w:numPr>
          <w:ilvl w:val="0"/>
          <w:numId w:val="1"/>
        </w:numPr>
        <w:spacing w:after="80"/>
      </w:pPr>
      <w:r>
        <w:t xml:space="preserve">A dynamic penetration test against the staging environment is strongly recommended prior to public launch.</w:t>
      </w:r>
    </w:p>
    <w:p>
      <w:pPr>
        <w:spacing w:after="200"/>
      </w:pPr>
    </w:p>
    <w:p>
      <w:pPr>
        <w:spacing w:after="120"/>
      </w:pPr>
      <w:r>
        <w:t xml:space="preserve">This report was generated automatically by the EDMECA security audit toolchain. All findings should be validated by a qualified security professional before remediation.</w:t>
      </w:r>
    </w:p>
    <w:p>
      <w:pPr>
        <w:spacing w:after="400"/>
      </w:pPr>
    </w:p>
    <w:p>
      <w:pPr>
        <w:pBdr>
          <w:bottom w:val="single" w:color="1f3a6e" w:sz="6"/>
        </w:pBdr>
        <w:spacing w:after="200"/>
      </w:pPr>
    </w:p>
    <w:p>
      <w:pPr>
        <w:jc w:val="center"/>
      </w:pPr>
      <w:r>
        <w:rPr>
          <w:color w:val="888888"/>
          <w:sz w:val="16"/>
          <w:szCs w:val="16"/>
        </w:rPr>
        <w:t xml:space="preserve">Report generated: 2026-03-04T10:59:05.216Z  |  EDMECA Digital Academy  |  X4O Consulting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Audit Report — EDMECA Digital Academy</dc:title>
  <dc:creator>EDMECA Academy Security Audit Tool</dc:creator>
  <dc:description>Automated security assessment report</dc:description>
  <cp:lastModifiedBy>Un-named</cp:lastModifiedBy>
  <cp:revision>1</cp:revision>
  <dcterms:created xsi:type="dcterms:W3CDTF">2026-03-04T10:59:05.451Z</dcterms:created>
  <dcterms:modified xsi:type="dcterms:W3CDTF">2026-03-04T10:59:05.451Z</dcterms:modified>
</cp:coreProperties>
</file>

<file path=docProps/custom.xml><?xml version="1.0" encoding="utf-8"?>
<Properties xmlns="http://schemas.openxmlformats.org/officeDocument/2006/custom-properties" xmlns:vt="http://schemas.openxmlformats.org/officeDocument/2006/docPropsVTypes"/>
</file>