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9220" w14:textId="5831834F" w:rsidR="00FE7E30" w:rsidRPr="006C0C15" w:rsidRDefault="006C6C70">
      <w:pPr>
        <w:rPr>
          <w:rFonts w:cstheme="minorHAnsi"/>
          <w:b/>
          <w:bCs/>
        </w:rPr>
      </w:pPr>
      <w:r w:rsidRPr="006C0C15">
        <w:rPr>
          <w:rFonts w:cstheme="minorHAnsi"/>
          <w:b/>
          <w:bCs/>
        </w:rPr>
        <w:t xml:space="preserve">Operational </w:t>
      </w:r>
      <w:r w:rsidR="007653A2" w:rsidRPr="006C0C15">
        <w:rPr>
          <w:rFonts w:cstheme="minorHAnsi"/>
          <w:b/>
          <w:bCs/>
        </w:rPr>
        <w:t xml:space="preserve">Pressure </w:t>
      </w:r>
      <w:r w:rsidR="00C15750" w:rsidRPr="006C0C15">
        <w:rPr>
          <w:rFonts w:cstheme="minorHAnsi"/>
          <w:b/>
          <w:bCs/>
        </w:rPr>
        <w:t>Escalation</w:t>
      </w:r>
      <w:r w:rsidR="007653A2" w:rsidRPr="006C0C15">
        <w:rPr>
          <w:rFonts w:cstheme="minorHAnsi"/>
          <w:b/>
          <w:bCs/>
        </w:rPr>
        <w:t xml:space="preserve"> Framework </w:t>
      </w:r>
      <w:r w:rsidR="00C15750" w:rsidRPr="006C0C15">
        <w:rPr>
          <w:rFonts w:cstheme="minorHAnsi"/>
          <w:b/>
          <w:bCs/>
        </w:rPr>
        <w:t>–</w:t>
      </w:r>
      <w:r w:rsidR="007653A2" w:rsidRPr="006C0C15">
        <w:rPr>
          <w:rFonts w:cstheme="minorHAnsi"/>
          <w:b/>
          <w:bCs/>
        </w:rPr>
        <w:t xml:space="preserve"> </w:t>
      </w:r>
    </w:p>
    <w:p w14:paraId="2696E280" w14:textId="77777777" w:rsidR="00055E0C" w:rsidRPr="006C0C15" w:rsidRDefault="00C15750">
      <w:pPr>
        <w:rPr>
          <w:rFonts w:cstheme="minorHAnsi"/>
        </w:rPr>
      </w:pPr>
      <w:r w:rsidRPr="006C0C15">
        <w:rPr>
          <w:rFonts w:cstheme="minorHAnsi"/>
        </w:rPr>
        <w:t xml:space="preserve">Definitions of crisis </w:t>
      </w:r>
      <w:r w:rsidR="00E067DE" w:rsidRPr="006C0C15">
        <w:rPr>
          <w:rFonts w:cstheme="minorHAnsi"/>
        </w:rPr>
        <w:t>–</w:t>
      </w:r>
      <w:r w:rsidRPr="006C0C15">
        <w:rPr>
          <w:rFonts w:cstheme="minorHAnsi"/>
        </w:rPr>
        <w:t xml:space="preserve"> </w:t>
      </w:r>
      <w:r w:rsidR="00E067DE" w:rsidRPr="006C0C15">
        <w:rPr>
          <w:rFonts w:cstheme="minorHAnsi"/>
        </w:rPr>
        <w:t xml:space="preserve">subjective in the media </w:t>
      </w:r>
      <w:r w:rsidR="004C617D" w:rsidRPr="006C0C15">
        <w:rPr>
          <w:rFonts w:cstheme="minorHAnsi"/>
        </w:rPr>
        <w:t xml:space="preserve">and with </w:t>
      </w:r>
      <w:r w:rsidR="00055E0C" w:rsidRPr="006C0C15">
        <w:rPr>
          <w:rFonts w:cstheme="minorHAnsi"/>
        </w:rPr>
        <w:t>no numerical definition of “crisis”</w:t>
      </w:r>
    </w:p>
    <w:p w14:paraId="6EE509F8" w14:textId="77777777" w:rsidR="00055E0C" w:rsidRDefault="00055E0C">
      <w:pPr>
        <w:rPr>
          <w:rFonts w:cstheme="minorHAnsi"/>
        </w:rPr>
      </w:pPr>
      <w:r w:rsidRPr="006C0C15">
        <w:rPr>
          <w:rFonts w:cstheme="minorHAnsi"/>
        </w:rPr>
        <w:t>We needed to define what the stages might be in relation to crisis or an escalation of the demand for services and the ability of the NHS to treat and discharge those coming to the service.</w:t>
      </w:r>
    </w:p>
    <w:p w14:paraId="504CB63E" w14:textId="7F9DE2AD" w:rsidR="007426CE" w:rsidRDefault="007426CE">
      <w:pPr>
        <w:rPr>
          <w:rFonts w:cstheme="minorHAnsi"/>
        </w:rPr>
      </w:pPr>
      <w:r>
        <w:rPr>
          <w:rFonts w:cstheme="minorHAnsi"/>
        </w:rPr>
        <w:t xml:space="preserve">In </w:t>
      </w:r>
      <w:proofErr w:type="gramStart"/>
      <w:r>
        <w:rPr>
          <w:rFonts w:cstheme="minorHAnsi"/>
        </w:rPr>
        <w:t>addition</w:t>
      </w:r>
      <w:proofErr w:type="gramEnd"/>
      <w:r>
        <w:rPr>
          <w:rFonts w:cstheme="minorHAnsi"/>
        </w:rPr>
        <w:t xml:space="preserve"> the creation of a </w:t>
      </w:r>
      <w:r w:rsidR="0048504D">
        <w:rPr>
          <w:rFonts w:cstheme="minorHAnsi"/>
        </w:rPr>
        <w:t>way of reviewing the whole system as opposed to departments.</w:t>
      </w:r>
    </w:p>
    <w:p w14:paraId="6B751364" w14:textId="0D3D92E5" w:rsidR="00C04DD5" w:rsidRPr="006C0C15" w:rsidRDefault="00C04DD5">
      <w:pPr>
        <w:rPr>
          <w:rFonts w:cstheme="minorHAnsi"/>
        </w:rPr>
      </w:pPr>
      <w:r>
        <w:rPr>
          <w:rFonts w:cstheme="minorHAnsi"/>
        </w:rPr>
        <w:t xml:space="preserve">Long term whole system </w:t>
      </w:r>
      <w:r w:rsidR="00CA7D48">
        <w:rPr>
          <w:rFonts w:cstheme="minorHAnsi"/>
        </w:rPr>
        <w:t xml:space="preserve">management response to pressure from COVID, weather </w:t>
      </w:r>
      <w:proofErr w:type="gramStart"/>
      <w:r w:rsidR="00CA7D48">
        <w:rPr>
          <w:rFonts w:cstheme="minorHAnsi"/>
        </w:rPr>
        <w:t>and also</w:t>
      </w:r>
      <w:proofErr w:type="gramEnd"/>
      <w:r w:rsidR="00CA7D48">
        <w:rPr>
          <w:rFonts w:cstheme="minorHAnsi"/>
        </w:rPr>
        <w:t xml:space="preserve"> other respiratory infections in the winter.</w:t>
      </w:r>
    </w:p>
    <w:p w14:paraId="2A47510A" w14:textId="4AC2052F" w:rsidR="00C15750" w:rsidRPr="006C0C15" w:rsidRDefault="00055E0C">
      <w:pPr>
        <w:rPr>
          <w:rFonts w:cstheme="minorHAnsi"/>
        </w:rPr>
      </w:pPr>
      <w:r w:rsidRPr="006C0C15">
        <w:rPr>
          <w:rFonts w:cstheme="minorHAnsi"/>
        </w:rPr>
        <w:t xml:space="preserve">NHS have a more structured and managed approach to managing this - </w:t>
      </w:r>
      <w:r w:rsidR="00E067DE" w:rsidRPr="006C0C15">
        <w:rPr>
          <w:rFonts w:cstheme="minorHAnsi"/>
        </w:rPr>
        <w:t xml:space="preserve">using a RAG </w:t>
      </w:r>
      <w:r w:rsidR="004E247F" w:rsidRPr="006C0C15">
        <w:rPr>
          <w:rFonts w:cstheme="minorHAnsi"/>
        </w:rPr>
        <w:t>rating (red, amber and green) – with the addition of black</w:t>
      </w:r>
      <w:r w:rsidRPr="006C0C15">
        <w:rPr>
          <w:rFonts w:cstheme="minorHAnsi"/>
        </w:rPr>
        <w:t xml:space="preserve"> as the highest level of alert.</w:t>
      </w:r>
    </w:p>
    <w:p w14:paraId="2F6F6EB5" w14:textId="77777777" w:rsidR="006C0C15" w:rsidRPr="006C0C15" w:rsidRDefault="006C0C15" w:rsidP="006C0C15">
      <w:pPr>
        <w:shd w:val="clear" w:color="auto" w:fill="F8F8F8"/>
        <w:spacing w:after="0" w:line="240" w:lineRule="auto"/>
        <w:rPr>
          <w:rFonts w:eastAsia="Times New Roman" w:cstheme="minorHAnsi"/>
          <w:color w:val="1D1C1D"/>
          <w:lang w:eastAsia="en-GB"/>
        </w:rPr>
      </w:pPr>
      <w:r w:rsidRPr="006C0C15">
        <w:rPr>
          <w:rFonts w:eastAsia="Times New Roman" w:cstheme="minorHAnsi"/>
          <w:color w:val="1D1C1D"/>
          <w:lang w:eastAsia="en-GB"/>
        </w:rPr>
        <w:t>The levels of risk used in the health service in Scotland are:</w:t>
      </w:r>
    </w:p>
    <w:p w14:paraId="60F6D3EF"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Black – immediate and tangible impact</w:t>
      </w:r>
    </w:p>
    <w:p w14:paraId="782D5FA2"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Red – significant intervention is required</w:t>
      </w:r>
    </w:p>
    <w:p w14:paraId="7FBAD045"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Amber – moderate impact – but functioning following intervention</w:t>
      </w:r>
    </w:p>
    <w:p w14:paraId="3CD4E22D" w14:textId="77777777" w:rsidR="006C0C15" w:rsidRPr="006C0C15" w:rsidRDefault="006C0C15" w:rsidP="006C0C15">
      <w:pPr>
        <w:numPr>
          <w:ilvl w:val="0"/>
          <w:numId w:val="1"/>
        </w:numPr>
        <w:shd w:val="clear" w:color="auto" w:fill="F8F8F8"/>
        <w:spacing w:before="100" w:beforeAutospacing="1" w:after="0" w:line="240" w:lineRule="auto"/>
        <w:ind w:left="1140"/>
        <w:rPr>
          <w:rFonts w:eastAsia="Times New Roman" w:cstheme="minorHAnsi"/>
          <w:color w:val="1D1C1D"/>
          <w:lang w:eastAsia="en-GB"/>
        </w:rPr>
      </w:pPr>
      <w:r w:rsidRPr="006C0C15">
        <w:rPr>
          <w:rFonts w:eastAsia="Times New Roman" w:cstheme="minorHAnsi"/>
          <w:color w:val="1D1C1D"/>
          <w:lang w:eastAsia="en-GB"/>
        </w:rPr>
        <w:t>Green – functioning – major impacts experienced</w:t>
      </w:r>
    </w:p>
    <w:p w14:paraId="032F89FA" w14:textId="77777777" w:rsidR="004E247F" w:rsidRDefault="004E247F"/>
    <w:p w14:paraId="3EBD0002" w14:textId="50EBCDA4" w:rsidR="004E247F" w:rsidRDefault="00807BCE">
      <w:r w:rsidRPr="003D381A">
        <w:rPr>
          <w:b/>
          <w:bCs/>
        </w:rPr>
        <w:t xml:space="preserve">System </w:t>
      </w:r>
      <w:r w:rsidR="007D5754" w:rsidRPr="003D381A">
        <w:rPr>
          <w:b/>
          <w:bCs/>
        </w:rPr>
        <w:t>components</w:t>
      </w:r>
      <w:r>
        <w:t xml:space="preserve"> – location, </w:t>
      </w:r>
      <w:r w:rsidR="00330526">
        <w:t>specialism, pathway of care</w:t>
      </w:r>
    </w:p>
    <w:p w14:paraId="3CCC8D2B" w14:textId="0E5094CA" w:rsidR="00330526" w:rsidRDefault="00330526">
      <w:r w:rsidRPr="003D381A">
        <w:rPr>
          <w:b/>
          <w:bCs/>
        </w:rPr>
        <w:t xml:space="preserve">Metrics </w:t>
      </w:r>
    </w:p>
    <w:p w14:paraId="4371E378" w14:textId="4F607EEA" w:rsidR="00330526" w:rsidRDefault="00330526">
      <w:r>
        <w:t xml:space="preserve">Activity / </w:t>
      </w:r>
      <w:proofErr w:type="gramStart"/>
      <w:r>
        <w:t xml:space="preserve">Demand </w:t>
      </w:r>
      <w:r>
        <w:t xml:space="preserve"> =</w:t>
      </w:r>
      <w:proofErr w:type="gramEnd"/>
      <w:r>
        <w:t xml:space="preserve"> </w:t>
      </w:r>
    </w:p>
    <w:p w14:paraId="12CE172F" w14:textId="77777777" w:rsidR="006C61CE" w:rsidRDefault="00330526">
      <w:r>
        <w:t>Activity/</w:t>
      </w:r>
      <w:proofErr w:type="gramStart"/>
      <w:r>
        <w:t>Demand :</w:t>
      </w:r>
      <w:proofErr w:type="gramEnd"/>
      <w:r>
        <w:t xml:space="preserve"> Capacity </w:t>
      </w:r>
    </w:p>
    <w:p w14:paraId="73E7E9E3" w14:textId="52A65B17" w:rsidR="006C61CE" w:rsidRDefault="00330526">
      <w:r>
        <w:t xml:space="preserve">Difficulty / </w:t>
      </w:r>
      <w:proofErr w:type="gramStart"/>
      <w:r>
        <w:t xml:space="preserve">Stress </w:t>
      </w:r>
      <w:r w:rsidR="006C61CE">
        <w:t xml:space="preserve"> =</w:t>
      </w:r>
      <w:proofErr w:type="gramEnd"/>
      <w:r w:rsidR="006C61CE">
        <w:t xml:space="preserve"> complexity of the treatments</w:t>
      </w:r>
    </w:p>
    <w:p w14:paraId="2C4BCD5C" w14:textId="32C09C02" w:rsidR="004E247F" w:rsidRDefault="00330526">
      <w:r>
        <w:t>Transition + Flow</w:t>
      </w:r>
      <w:r w:rsidR="006C61CE">
        <w:t xml:space="preserve"> – discharge data</w:t>
      </w:r>
    </w:p>
    <w:p w14:paraId="323F567F" w14:textId="1E241599" w:rsidR="003D381A" w:rsidRPr="003D381A" w:rsidRDefault="003D381A">
      <w:pPr>
        <w:rPr>
          <w:b/>
          <w:bCs/>
        </w:rPr>
      </w:pPr>
      <w:r w:rsidRPr="003D381A">
        <w:rPr>
          <w:b/>
          <w:bCs/>
        </w:rPr>
        <w:t>Actions</w:t>
      </w:r>
    </w:p>
    <w:p w14:paraId="020A4CFE" w14:textId="77777777" w:rsidR="003D381A" w:rsidRDefault="003D381A">
      <w:r>
        <w:t xml:space="preserve">Increase a capacity or resource </w:t>
      </w:r>
      <w:r>
        <w:sym w:font="Symbol" w:char="F0B7"/>
      </w:r>
      <w:r>
        <w:t xml:space="preserve"> </w:t>
      </w:r>
    </w:p>
    <w:p w14:paraId="6FD7A23D" w14:textId="77777777" w:rsidR="003D381A" w:rsidRDefault="003D381A">
      <w:r>
        <w:t xml:space="preserve">Redirect one resource from one activity to another </w:t>
      </w:r>
      <w:r>
        <w:sym w:font="Symbol" w:char="F0B7"/>
      </w:r>
      <w:r>
        <w:t xml:space="preserve"> </w:t>
      </w:r>
    </w:p>
    <w:p w14:paraId="3BE1126C" w14:textId="60386DC2" w:rsidR="003D381A" w:rsidRDefault="003D381A">
      <w:r>
        <w:t>Change the usual operational rules through a derogation matrix</w:t>
      </w:r>
    </w:p>
    <w:p w14:paraId="17911680" w14:textId="77777777" w:rsidR="004E247F" w:rsidRDefault="004E247F"/>
    <w:tbl>
      <w:tblPr>
        <w:tblStyle w:val="TableGrid"/>
        <w:tblW w:w="0" w:type="auto"/>
        <w:tblLook w:val="04A0" w:firstRow="1" w:lastRow="0" w:firstColumn="1" w:lastColumn="0" w:noHBand="0" w:noVBand="1"/>
      </w:tblPr>
      <w:tblGrid>
        <w:gridCol w:w="1271"/>
        <w:gridCol w:w="3544"/>
        <w:gridCol w:w="4201"/>
      </w:tblGrid>
      <w:tr w:rsidR="00BB4AD4" w14:paraId="1239906D" w14:textId="77777777" w:rsidTr="005A0592">
        <w:tc>
          <w:tcPr>
            <w:tcW w:w="1271" w:type="dxa"/>
          </w:tcPr>
          <w:p w14:paraId="411AFFE5" w14:textId="4A02D043" w:rsidR="00BB4AD4" w:rsidRPr="00193AE5" w:rsidRDefault="00BB4AD4">
            <w:pPr>
              <w:rPr>
                <w:b/>
                <w:bCs/>
              </w:rPr>
            </w:pPr>
            <w:r w:rsidRPr="00193AE5">
              <w:rPr>
                <w:b/>
                <w:bCs/>
              </w:rPr>
              <w:t>RAG</w:t>
            </w:r>
          </w:p>
        </w:tc>
        <w:tc>
          <w:tcPr>
            <w:tcW w:w="3544" w:type="dxa"/>
          </w:tcPr>
          <w:p w14:paraId="43D7CFE7" w14:textId="5AD5DBB7" w:rsidR="00BB4AD4" w:rsidRPr="00193AE5" w:rsidRDefault="00BB4AD4">
            <w:pPr>
              <w:rPr>
                <w:b/>
                <w:bCs/>
              </w:rPr>
            </w:pPr>
            <w:r w:rsidRPr="00193AE5">
              <w:rPr>
                <w:b/>
                <w:bCs/>
              </w:rPr>
              <w:t>Impact</w:t>
            </w:r>
          </w:p>
        </w:tc>
        <w:tc>
          <w:tcPr>
            <w:tcW w:w="4201" w:type="dxa"/>
          </w:tcPr>
          <w:p w14:paraId="494FB758" w14:textId="638A837E" w:rsidR="00BB4AD4" w:rsidRPr="00193AE5" w:rsidRDefault="005A0592">
            <w:pPr>
              <w:rPr>
                <w:b/>
                <w:bCs/>
              </w:rPr>
            </w:pPr>
            <w:r w:rsidRPr="00193AE5">
              <w:rPr>
                <w:b/>
                <w:bCs/>
              </w:rPr>
              <w:t xml:space="preserve"> Assumptions</w:t>
            </w:r>
          </w:p>
        </w:tc>
      </w:tr>
      <w:tr w:rsidR="00BB4AD4" w14:paraId="127B6AE5" w14:textId="77777777" w:rsidTr="005A0592">
        <w:tc>
          <w:tcPr>
            <w:tcW w:w="1271" w:type="dxa"/>
          </w:tcPr>
          <w:p w14:paraId="456656D3" w14:textId="0509A133" w:rsidR="00BB4AD4" w:rsidRDefault="00BB4AD4">
            <w:r>
              <w:t>Black</w:t>
            </w:r>
          </w:p>
        </w:tc>
        <w:tc>
          <w:tcPr>
            <w:tcW w:w="3544" w:type="dxa"/>
          </w:tcPr>
          <w:p w14:paraId="021DC375" w14:textId="5C9FB7DF" w:rsidR="00BB4AD4" w:rsidRDefault="00BB4AD4">
            <w:r w:rsidRPr="006C0C15">
              <w:rPr>
                <w:rFonts w:eastAsia="Times New Roman" w:cstheme="minorHAnsi"/>
                <w:color w:val="1D1C1D"/>
                <w:lang w:eastAsia="en-GB"/>
              </w:rPr>
              <w:t>immediate and tangible impact</w:t>
            </w:r>
          </w:p>
        </w:tc>
        <w:tc>
          <w:tcPr>
            <w:tcW w:w="4201" w:type="dxa"/>
          </w:tcPr>
          <w:p w14:paraId="4AE01B12" w14:textId="14BB38D3" w:rsidR="00BB4AD4" w:rsidRDefault="007F1091">
            <w:r>
              <w:t>Bed occupancy 95%</w:t>
            </w:r>
            <w:r w:rsidR="007B5648">
              <w:t xml:space="preserve"> - 100%</w:t>
            </w:r>
          </w:p>
        </w:tc>
      </w:tr>
      <w:tr w:rsidR="007B5648" w14:paraId="5E004385" w14:textId="77777777" w:rsidTr="005A0592">
        <w:tc>
          <w:tcPr>
            <w:tcW w:w="1271" w:type="dxa"/>
          </w:tcPr>
          <w:p w14:paraId="23C08625" w14:textId="609617F8" w:rsidR="007B5648" w:rsidRDefault="007B5648" w:rsidP="007B5648">
            <w:r>
              <w:t>Red</w:t>
            </w:r>
          </w:p>
        </w:tc>
        <w:tc>
          <w:tcPr>
            <w:tcW w:w="3544" w:type="dxa"/>
          </w:tcPr>
          <w:p w14:paraId="2BE700B3" w14:textId="5449A05F" w:rsidR="007B5648" w:rsidRPr="0029070D" w:rsidRDefault="007B5648" w:rsidP="0029070D">
            <w:pPr>
              <w:shd w:val="clear" w:color="auto" w:fill="F8F8F8"/>
              <w:spacing w:before="100" w:beforeAutospacing="1"/>
              <w:rPr>
                <w:rFonts w:eastAsia="Times New Roman" w:cstheme="minorHAnsi"/>
                <w:color w:val="1D1C1D"/>
                <w:lang w:eastAsia="en-GB"/>
              </w:rPr>
            </w:pPr>
            <w:r w:rsidRPr="006C0C15">
              <w:rPr>
                <w:rFonts w:eastAsia="Times New Roman" w:cstheme="minorHAnsi"/>
                <w:color w:val="1D1C1D"/>
                <w:lang w:eastAsia="en-GB"/>
              </w:rPr>
              <w:t>significant intervention is required</w:t>
            </w:r>
          </w:p>
        </w:tc>
        <w:tc>
          <w:tcPr>
            <w:tcW w:w="4201" w:type="dxa"/>
          </w:tcPr>
          <w:p w14:paraId="5812A2E6" w14:textId="511829B4" w:rsidR="007B5648" w:rsidRDefault="007B5648" w:rsidP="007B5648">
            <w:r>
              <w:t xml:space="preserve">Bed occupancy </w:t>
            </w:r>
            <w:r w:rsidR="0029070D">
              <w:t>81</w:t>
            </w:r>
            <w:r w:rsidR="00FD3600">
              <w:t xml:space="preserve">% - </w:t>
            </w:r>
            <w:r w:rsidR="0029070D">
              <w:t>94%</w:t>
            </w:r>
          </w:p>
        </w:tc>
      </w:tr>
      <w:tr w:rsidR="007B5648" w14:paraId="5D5C43F8" w14:textId="77777777" w:rsidTr="005A0592">
        <w:tc>
          <w:tcPr>
            <w:tcW w:w="1271" w:type="dxa"/>
          </w:tcPr>
          <w:p w14:paraId="4B2B29B8" w14:textId="6CC90938" w:rsidR="007B5648" w:rsidRDefault="007B5648" w:rsidP="007B5648">
            <w:r>
              <w:t>Amber</w:t>
            </w:r>
          </w:p>
        </w:tc>
        <w:tc>
          <w:tcPr>
            <w:tcW w:w="3544" w:type="dxa"/>
          </w:tcPr>
          <w:p w14:paraId="51EC60F8" w14:textId="7AAF4604" w:rsidR="007B5648" w:rsidRDefault="0029070D" w:rsidP="007B5648">
            <w:r w:rsidRPr="006C0C15">
              <w:rPr>
                <w:rFonts w:eastAsia="Times New Roman" w:cstheme="minorHAnsi"/>
                <w:color w:val="1D1C1D"/>
                <w:lang w:eastAsia="en-GB"/>
              </w:rPr>
              <w:t>moderate impact – but functioning following intervention</w:t>
            </w:r>
          </w:p>
        </w:tc>
        <w:tc>
          <w:tcPr>
            <w:tcW w:w="4201" w:type="dxa"/>
          </w:tcPr>
          <w:p w14:paraId="7450DDDC" w14:textId="03B50DBA" w:rsidR="007B5648" w:rsidRDefault="0029070D" w:rsidP="007B5648">
            <w:r>
              <w:t>Bed occupancy 71% - 80%</w:t>
            </w:r>
          </w:p>
        </w:tc>
      </w:tr>
      <w:tr w:rsidR="007B5648" w14:paraId="2A05A20D" w14:textId="77777777" w:rsidTr="005A0592">
        <w:tc>
          <w:tcPr>
            <w:tcW w:w="1271" w:type="dxa"/>
          </w:tcPr>
          <w:p w14:paraId="37A87575" w14:textId="1DF70B5F" w:rsidR="007B5648" w:rsidRDefault="007B5648" w:rsidP="007B5648">
            <w:r>
              <w:t>Green</w:t>
            </w:r>
          </w:p>
        </w:tc>
        <w:tc>
          <w:tcPr>
            <w:tcW w:w="3544" w:type="dxa"/>
          </w:tcPr>
          <w:p w14:paraId="54AEE6B7" w14:textId="12515BB8" w:rsidR="007B5648" w:rsidRDefault="0029070D" w:rsidP="007B5648">
            <w:r w:rsidRPr="006C0C15">
              <w:rPr>
                <w:rFonts w:eastAsia="Times New Roman" w:cstheme="minorHAnsi"/>
                <w:color w:val="1D1C1D"/>
                <w:lang w:eastAsia="en-GB"/>
              </w:rPr>
              <w:t>functioning – major impacts experienced</w:t>
            </w:r>
          </w:p>
        </w:tc>
        <w:tc>
          <w:tcPr>
            <w:tcW w:w="4201" w:type="dxa"/>
          </w:tcPr>
          <w:p w14:paraId="54D5D2D2" w14:textId="53BB632D" w:rsidR="007B5648" w:rsidRDefault="00FD3600" w:rsidP="007B5648">
            <w:r>
              <w:t>Bed occupancy 70% and under</w:t>
            </w:r>
          </w:p>
        </w:tc>
      </w:tr>
    </w:tbl>
    <w:p w14:paraId="3977C9F1" w14:textId="77777777" w:rsidR="004E247F" w:rsidRDefault="004E247F"/>
    <w:p w14:paraId="4446ADEB" w14:textId="77777777" w:rsidR="004E247F" w:rsidRDefault="004E247F"/>
    <w:p w14:paraId="77960A53" w14:textId="77777777" w:rsidR="004E247F" w:rsidRDefault="004E247F"/>
    <w:p w14:paraId="58D4CE11" w14:textId="77777777" w:rsidR="004E247F" w:rsidRDefault="004E247F"/>
    <w:p w14:paraId="45122157" w14:textId="77777777" w:rsidR="004E247F" w:rsidRDefault="004E247F"/>
    <w:p w14:paraId="0A8DA789" w14:textId="77777777" w:rsidR="004E247F" w:rsidRDefault="004E247F"/>
    <w:p w14:paraId="5A261F4D" w14:textId="3A52214A" w:rsidR="004E247F" w:rsidRDefault="004E247F">
      <w:r>
        <w:t xml:space="preserve">Source: </w:t>
      </w:r>
    </w:p>
    <w:sectPr w:rsidR="004E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761E4"/>
    <w:multiLevelType w:val="multilevel"/>
    <w:tmpl w:val="7F4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92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57"/>
    <w:rsid w:val="00055E0C"/>
    <w:rsid w:val="00193AE5"/>
    <w:rsid w:val="00203F08"/>
    <w:rsid w:val="0029070D"/>
    <w:rsid w:val="00330526"/>
    <w:rsid w:val="003D381A"/>
    <w:rsid w:val="0048504D"/>
    <w:rsid w:val="004C617D"/>
    <w:rsid w:val="004E247F"/>
    <w:rsid w:val="005A0592"/>
    <w:rsid w:val="006C0C15"/>
    <w:rsid w:val="006C61CE"/>
    <w:rsid w:val="006C6C70"/>
    <w:rsid w:val="007426CE"/>
    <w:rsid w:val="007653A2"/>
    <w:rsid w:val="007B5648"/>
    <w:rsid w:val="007D5754"/>
    <w:rsid w:val="007F1091"/>
    <w:rsid w:val="00807BCE"/>
    <w:rsid w:val="009A2257"/>
    <w:rsid w:val="00BB4AD4"/>
    <w:rsid w:val="00BD78F7"/>
    <w:rsid w:val="00C04DD5"/>
    <w:rsid w:val="00C15750"/>
    <w:rsid w:val="00C94FEF"/>
    <w:rsid w:val="00CA7D48"/>
    <w:rsid w:val="00DD1C14"/>
    <w:rsid w:val="00E067DE"/>
    <w:rsid w:val="00FD3600"/>
    <w:rsid w:val="00FE7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4437"/>
  <w15:chartTrackingRefBased/>
  <w15:docId w15:val="{16C326F4-322D-460D-800A-96EF7674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Hogg</dc:creator>
  <cp:keywords/>
  <dc:description/>
  <cp:lastModifiedBy>Jane Hogg</cp:lastModifiedBy>
  <cp:revision>28</cp:revision>
  <dcterms:created xsi:type="dcterms:W3CDTF">2022-11-21T09:55:00Z</dcterms:created>
  <dcterms:modified xsi:type="dcterms:W3CDTF">2022-11-21T10:30:00Z</dcterms:modified>
</cp:coreProperties>
</file>