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E1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sz w:val="52"/>
          <w:lang w:val="en-US" w:eastAsia="zh-CN"/>
        </w:rPr>
      </w:pPr>
      <w:r>
        <w:rPr>
          <w:rFonts w:hint="eastAsia" w:ascii="宋体" w:hAnsi="宋体" w:eastAsia="宋体" w:cs="宋体"/>
          <w:b/>
          <w:sz w:val="52"/>
          <w:lang w:val="en-US" w:eastAsia="zh-CN"/>
        </w:rPr>
        <w:t>第一阶段个人工作总结</w:t>
      </w:r>
    </w:p>
    <w:p w14:paraId="2AF8A0C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t>一、本阶段工作内容</w:t>
      </w:r>
      <w:bookmarkEnd w:id="0"/>
    </w:p>
    <w:p w14:paraId="4579471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8"/>
          <w:szCs w:val="21"/>
        </w:rPr>
      </w:pPr>
      <w:bookmarkStart w:id="1" w:name="heading_1"/>
      <w:r>
        <w:rPr>
          <w:rFonts w:hint="eastAsia" w:ascii="宋体" w:hAnsi="宋体" w:eastAsia="宋体" w:cs="宋体"/>
          <w:b/>
          <w:sz w:val="28"/>
          <w:szCs w:val="21"/>
        </w:rPr>
        <w:t>（一）项目基础搭建</w:t>
      </w:r>
      <w:bookmarkEnd w:id="1"/>
    </w:p>
    <w:p w14:paraId="3F3ED323">
      <w:pPr>
        <w:spacing w:before="300" w:after="120" w:line="288" w:lineRule="auto"/>
        <w:ind w:left="0" w:firstLine="500" w:firstLineChars="0"/>
        <w:jc w:val="left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完成</w:t>
      </w:r>
      <w:r>
        <w:rPr>
          <w:rFonts w:hint="eastAsia" w:ascii="宋体" w:hAnsi="宋体" w:eastAsia="宋体" w:cs="宋体"/>
          <w:sz w:val="22"/>
          <w:lang w:val="en-US" w:eastAsia="zh-CN"/>
        </w:rPr>
        <w:t>搭建起项目基础框架，同时</w:t>
      </w:r>
      <w:r>
        <w:rPr>
          <w:rFonts w:hint="eastAsia" w:ascii="宋体" w:hAnsi="宋体" w:eastAsia="宋体" w:cs="宋体"/>
          <w:sz w:val="22"/>
        </w:rPr>
        <w:t>建立后端模块骨架，明确划分src/api、src/graph_rag、src/utils三大核心模块，规范模块职责，为后续开发提供清晰的结构支撑。</w:t>
      </w:r>
    </w:p>
    <w:p w14:paraId="467E50C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2" w:name="heading_2"/>
      <w:r>
        <w:rPr>
          <w:rFonts w:hint="eastAsia" w:ascii="宋体" w:hAnsi="宋体" w:eastAsia="宋体" w:cs="宋体"/>
          <w:b/>
          <w:sz w:val="28"/>
          <w:szCs w:val="21"/>
        </w:rPr>
        <w:t>（二）API主服务骨架实现</w:t>
      </w:r>
      <w:bookmarkEnd w:id="2"/>
    </w:p>
    <w:p w14:paraId="2505B4B4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在src/api/main.py中完成FastAPI生命周期管理，实现服务启动初始化与关闭清理的完整流程；开发并完成GET /health、POST /chat两个核心接口</w:t>
      </w:r>
      <w:r>
        <w:rPr>
          <w:rFonts w:hint="eastAsia" w:ascii="宋体" w:hAnsi="宋体" w:eastAsia="宋体" w:cs="宋体"/>
          <w:sz w:val="22"/>
          <w:lang w:val="en-US" w:eastAsia="zh-CN"/>
        </w:rPr>
        <w:t>的基础</w:t>
      </w:r>
      <w:r>
        <w:rPr>
          <w:rFonts w:hint="eastAsia" w:ascii="宋体" w:hAnsi="宋体" w:eastAsia="宋体" w:cs="宋体"/>
          <w:sz w:val="22"/>
        </w:rPr>
        <w:t>可用版本，满足基础联调需求；统一定义ChatRequest（包含query、history字段）与ChatResponse（包含answer、context、intent、rewritten_query字段），确保前后端及各成员开发的接口规范一致。</w:t>
      </w:r>
    </w:p>
    <w:p w14:paraId="4391787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3" w:name="heading_4"/>
      <w:r>
        <w:rPr>
          <w:rFonts w:hint="eastAsia" w:ascii="宋体" w:hAnsi="宋体" w:eastAsia="宋体" w:cs="宋体"/>
          <w:b/>
          <w:sz w:val="28"/>
          <w:szCs w:val="21"/>
        </w:rPr>
        <w:t>（</w:t>
      </w:r>
      <w:r>
        <w:rPr>
          <w:rFonts w:hint="eastAsia" w:ascii="宋体" w:hAnsi="宋体" w:eastAsia="宋体" w:cs="宋体"/>
          <w:b/>
          <w:sz w:val="28"/>
          <w:szCs w:val="21"/>
          <w:lang w:val="en-US" w:eastAsia="zh-CN"/>
        </w:rPr>
        <w:t>三</w:t>
      </w:r>
      <w:r>
        <w:rPr>
          <w:rFonts w:hint="eastAsia" w:ascii="宋体" w:hAnsi="宋体" w:eastAsia="宋体" w:cs="宋体"/>
          <w:b/>
          <w:sz w:val="28"/>
          <w:szCs w:val="21"/>
        </w:rPr>
        <w:t>）RAG占位链路实现</w:t>
      </w:r>
      <w:bookmarkEnd w:id="3"/>
    </w:p>
    <w:p w14:paraId="33CA3B9E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在src/graph_rag/rag_engine.py中实现chat(query, history)</w:t>
      </w:r>
      <w:r>
        <w:rPr>
          <w:rFonts w:hint="eastAsia" w:ascii="宋体" w:hAnsi="宋体" w:eastAsia="宋体" w:cs="宋体"/>
          <w:sz w:val="22"/>
          <w:lang w:val="en-US" w:eastAsia="zh-CN"/>
        </w:rPr>
        <w:t>占位</w:t>
      </w:r>
      <w:r>
        <w:rPr>
          <w:rFonts w:hint="eastAsia" w:ascii="宋体" w:hAnsi="宋体" w:eastAsia="宋体" w:cs="宋体"/>
          <w:sz w:val="22"/>
        </w:rPr>
        <w:t>方法</w:t>
      </w:r>
      <w:r>
        <w:rPr>
          <w:rFonts w:hint="eastAsia" w:ascii="宋体" w:hAnsi="宋体" w:eastAsia="宋体" w:cs="宋体"/>
          <w:sz w:val="22"/>
          <w:lang w:eastAsia="zh-CN"/>
        </w:rPr>
        <w:t>，</w:t>
      </w:r>
      <w:r>
        <w:rPr>
          <w:rFonts w:hint="eastAsia" w:ascii="宋体" w:hAnsi="宋体" w:eastAsia="宋体" w:cs="宋体"/>
          <w:sz w:val="22"/>
        </w:rPr>
        <w:t>在实现过程中注重预留后续可替换能力，不耦合具体的检索与生成逻辑，为后续替换为真实RAG逻辑做好铺垫。</w:t>
      </w:r>
    </w:p>
    <w:p w14:paraId="698DBD3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4" w:name="heading_5"/>
      <w:r>
        <w:rPr>
          <w:rFonts w:hint="eastAsia" w:ascii="宋体" w:hAnsi="宋体" w:eastAsia="宋体" w:cs="宋体"/>
          <w:b/>
          <w:sz w:val="28"/>
          <w:szCs w:val="21"/>
        </w:rPr>
        <w:t>（</w:t>
      </w:r>
      <w:r>
        <w:rPr>
          <w:rFonts w:hint="eastAsia" w:ascii="宋体" w:hAnsi="宋体" w:eastAsia="宋体" w:cs="宋体"/>
          <w:b/>
          <w:sz w:val="28"/>
          <w:szCs w:val="21"/>
          <w:lang w:val="en-US" w:eastAsia="zh-CN"/>
        </w:rPr>
        <w:t>四</w:t>
      </w:r>
      <w:r>
        <w:rPr>
          <w:rFonts w:hint="eastAsia" w:ascii="宋体" w:hAnsi="宋体" w:eastAsia="宋体" w:cs="宋体"/>
          <w:b/>
          <w:sz w:val="28"/>
          <w:szCs w:val="21"/>
        </w:rPr>
        <w:t>）</w:t>
      </w:r>
      <w:r>
        <w:rPr>
          <w:rFonts w:hint="eastAsia" w:ascii="宋体" w:hAnsi="宋体" w:eastAsia="宋体" w:cs="宋体"/>
          <w:b/>
          <w:sz w:val="28"/>
          <w:szCs w:val="21"/>
          <w:lang w:val="en-US" w:eastAsia="zh-CN"/>
        </w:rPr>
        <w:t>完成接口</w:t>
      </w:r>
      <w:r>
        <w:rPr>
          <w:rFonts w:hint="eastAsia" w:ascii="宋体" w:hAnsi="宋体" w:eastAsia="宋体" w:cs="宋体"/>
          <w:b/>
          <w:sz w:val="28"/>
          <w:szCs w:val="21"/>
        </w:rPr>
        <w:t>文档与验收脚本</w:t>
      </w:r>
      <w:bookmarkEnd w:id="4"/>
    </w:p>
    <w:p w14:paraId="34C028C8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输出接口说明文档docs/api_contract.md，详细梳理接口信息；</w:t>
      </w:r>
      <w:r>
        <w:rPr>
          <w:rFonts w:hint="eastAsia" w:ascii="宋体" w:hAnsi="宋体" w:eastAsia="宋体" w:cs="宋体"/>
          <w:sz w:val="22"/>
          <w:lang w:val="en-US" w:eastAsia="zh-CN"/>
        </w:rPr>
        <w:t>撰写</w:t>
      </w:r>
      <w:r>
        <w:rPr>
          <w:rFonts w:hint="eastAsia" w:ascii="宋体" w:hAnsi="宋体" w:eastAsia="宋体" w:cs="宋体"/>
          <w:sz w:val="22"/>
        </w:rPr>
        <w:t>验收脚本test_week1.ps1，覆盖健康检查、正常请求、空query、缺失query等多种场景，确保接口功能符合预期，保障联调工作顺利推进。</w:t>
      </w:r>
    </w:p>
    <w:p w14:paraId="1A7998E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5" w:name="heading_6"/>
      <w:r>
        <w:rPr>
          <w:rFonts w:hint="eastAsia" w:ascii="宋体" w:hAnsi="宋体" w:eastAsia="宋体" w:cs="宋体"/>
          <w:b/>
          <w:sz w:val="32"/>
        </w:rPr>
        <w:t>二、遇到的问题及解决思路</w:t>
      </w:r>
      <w:bookmarkEnd w:id="5"/>
    </w:p>
    <w:p w14:paraId="4D4E310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1.初版代码中，src/api/main.py的chat接口直接调用了src/graph_rag/rag_engine.py的具体检索方法，且返回结果直接依赖检索方法的返回格式，当小组成员修改rag_engine.py中的search_graph方法返回字段后，main.py中的接口直接报错，需反复修改接口适配业务逻辑。</w:t>
      </w:r>
    </w:p>
    <w:p w14:paraId="2AC7D9E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lang w:val="en-US" w:eastAsia="zh-CN"/>
        </w:rPr>
        <w:t>解决思路：</w:t>
      </w:r>
      <w:r>
        <w:rPr>
          <w:rFonts w:hint="eastAsia" w:ascii="宋体" w:hAnsi="宋体" w:eastAsia="宋体" w:cs="宋体"/>
          <w:sz w:val="22"/>
          <w:lang w:val="en-US" w:eastAsia="zh-CN"/>
        </w:rPr>
        <w:t>重构了接口与R</w:t>
      </w:r>
      <w:bookmarkStart w:id="9" w:name="_GoBack"/>
      <w:bookmarkEnd w:id="9"/>
      <w:r>
        <w:rPr>
          <w:rFonts w:hint="eastAsia" w:ascii="宋体" w:hAnsi="宋体" w:eastAsia="宋体" w:cs="宋体"/>
          <w:sz w:val="22"/>
          <w:lang w:val="en-US" w:eastAsia="zh-CN"/>
        </w:rPr>
        <w:t>AG层的调用逻辑，在rag_engine.py中统一封装chat(query, history)入口方法，确定该方法的入参和返回格式，main.py仅调用该入口方法，不直接依赖任何具体检索实现。</w:t>
      </w:r>
    </w:p>
    <w:p w14:paraId="2528661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2.并发联调时，多个前端同时调用接口，后端日志中仅能看到零散的请求和错误信息，无法判断哪个错误对应哪个前端的请求，排障时无法定位具体问题场景。</w:t>
      </w:r>
    </w:p>
    <w:p w14:paraId="2DDDD40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lang w:val="en-US" w:eastAsia="zh-CN"/>
        </w:rPr>
        <w:t>解决思路：</w:t>
      </w:r>
      <w:r>
        <w:rPr>
          <w:rFonts w:hint="eastAsia" w:ascii="宋体" w:hAnsi="宋体" w:eastAsia="宋体" w:cs="宋体"/>
          <w:sz w:val="22"/>
          <w:lang w:val="en-US" w:eastAsia="zh-CN"/>
        </w:rPr>
        <w:t>通过FastAPI的Request对象生成trace_id，在请求进入接口时将trace_id存入上下文，后续所有日志（请求日志、错误日志、业务日志）均打印该trace_id，同时在接口响应头中添加X-Trace-ID字段，前端可将该字段与报错信息一并反馈，后端通过trace_id即可串联起一次请求的完整链路，快速匹配请求入参和报错信息，解决并发排障难题。</w:t>
      </w:r>
    </w:p>
    <w:p w14:paraId="7177625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bookmarkStart w:id="6" w:name="heading_9"/>
      <w:r>
        <w:rPr>
          <w:rFonts w:hint="eastAsia" w:ascii="宋体" w:hAnsi="宋体" w:eastAsia="宋体" w:cs="宋体"/>
          <w:sz w:val="22"/>
          <w:lang w:val="en-US" w:eastAsia="zh-CN"/>
        </w:rPr>
        <w:t>3.测试中文问答场景时，前端传递的query包含中文时，后端接收后打印日志显示为乱码，且将中文query传入RAG占位方法时，出现序列化失败报错“JSONDecodeError: 'utf-8' codec can't decode byte 0xb8 in position 0: invalid start byte”，无法正常处理中文请求。</w:t>
      </w:r>
    </w:p>
    <w:p w14:paraId="34FEBAB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lang w:val="en-US" w:eastAsia="zh-CN"/>
        </w:rPr>
        <w:t>解决思路：</w:t>
      </w:r>
      <w:r>
        <w:rPr>
          <w:rFonts w:hint="eastAsia" w:ascii="宋体" w:hAnsi="宋体" w:eastAsia="宋体" w:cs="宋体"/>
          <w:sz w:val="22"/>
          <w:lang w:val="en-US" w:eastAsia="zh-CN"/>
        </w:rPr>
        <w:t>统一项目编码格式为UTF-8，在FastAPI服务启动时，指定默认编码为utf-8；修改JSON序列化逻辑，使用json.dumps时指定ensure_ascii=False，确保中文正常序列化；日志输出时，明确指定编码为utf-8，避免中文乱码，同时在验收脚本中添加中文query测试用例，验证中文请求处理正常，解决中文场景下的编码隐患。</w:t>
      </w:r>
    </w:p>
    <w:p w14:paraId="060B722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三、下一阶段工作计划</w:t>
      </w:r>
      <w:bookmarkEnd w:id="6"/>
    </w:p>
    <w:p w14:paraId="172E38C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7" w:name="heading_10"/>
      <w:r>
        <w:rPr>
          <w:rFonts w:hint="eastAsia" w:ascii="宋体" w:hAnsi="宋体" w:eastAsia="宋体" w:cs="宋体"/>
          <w:b/>
          <w:sz w:val="28"/>
          <w:szCs w:val="21"/>
        </w:rPr>
        <w:t>（一）数据与图谱导入</w:t>
      </w:r>
      <w:bookmarkEnd w:id="7"/>
    </w:p>
    <w:p w14:paraId="4BEB3B9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 完成Neo4j连接配置，将/health接口中的neo4j_connected状态从占位改为真实检测，确保Neo4j数据库连接正常；</w:t>
      </w:r>
    </w:p>
    <w:p w14:paraId="16DF0FF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 重构并完善数据导入脚本，涵盖疾病、药品、养老机构、保险等各类数据，完成一次全量导入验证，确保数据导入正常；</w:t>
      </w:r>
    </w:p>
    <w:p w14:paraId="32BFCE8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 建立数据质量基线，明确节点数、关系数、关键字段完整性等核心指标，保障导入数据的质量。</w:t>
      </w:r>
    </w:p>
    <w:p w14:paraId="5C462E4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8" w:name="heading_11"/>
      <w:r>
        <w:rPr>
          <w:rFonts w:hint="eastAsia" w:ascii="宋体" w:hAnsi="宋体" w:eastAsia="宋体" w:cs="宋体"/>
          <w:b/>
          <w:sz w:val="28"/>
          <w:szCs w:val="21"/>
        </w:rPr>
        <w:t>（二）接口与联调保障</w:t>
      </w:r>
      <w:bookmarkEnd w:id="8"/>
    </w:p>
    <w:p w14:paraId="4843DD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 保持/chat接口契约不变，仅在内部替换mock依赖，确保</w:t>
      </w:r>
      <w:r>
        <w:rPr>
          <w:rFonts w:hint="eastAsia" w:ascii="宋体" w:hAnsi="宋体" w:eastAsia="宋体" w:cs="宋体"/>
          <w:sz w:val="22"/>
          <w:lang w:val="en-US" w:eastAsia="zh-CN"/>
        </w:rPr>
        <w:t>小组成员</w:t>
      </w:r>
      <w:r>
        <w:rPr>
          <w:rFonts w:hint="eastAsia" w:ascii="宋体" w:hAnsi="宋体" w:eastAsia="宋体" w:cs="宋体"/>
          <w:sz w:val="22"/>
        </w:rPr>
        <w:t>的联调工作不受影响，保障联调进度；</w:t>
      </w:r>
    </w:p>
    <w:p w14:paraId="56A3177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 数据导入完成后，增加关键查询验证，至少覆盖保险、疾病、养老三类典型问法，确保数据可正常检索。</w:t>
      </w:r>
    </w:p>
    <w:p w14:paraId="5EE4002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5FFB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7C0C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88876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3165</Words>
  <Characters>4016</Characters>
  <TotalTime>17</TotalTime>
  <ScaleCrop>false</ScaleCrop>
  <LinksUpToDate>false</LinksUpToDate>
  <CharactersWithSpaces>4052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2026-03-31T12:27:00Z</dcterms:created>
  <dc:creator>Apache POI</dc:creator>
  <cp:lastModifiedBy>王彦茜</cp:lastModifiedBy>
  <dcterms:modified xsi:type="dcterms:W3CDTF">2026-03-31T12:46:00Z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eyJoZGlkIjoiZjQ2ZTdjNzk5ZjEyODBiNTk0NWVkZjcxZjI5NWM2YjMiLCJ1c2VySWQiOiIxNjYxNDMwOTczIn0=</vt:lpwstr>
  </property>
  <property fmtid="{D5CDD505-2E9C-101B-9397-08002B2CF9AE}" pid="3" name="KSOProductBuildVer">
    <vt:lpwstr>2052-12.1.0.24034</vt:lpwstr>
  </property>
  <property fmtid="{D5CDD505-2E9C-101B-9397-08002B2CF9AE}" pid="4" name="ICV">
    <vt:lpwstr>CD048DC91E0E4B21A56C0D425111E3D6_12</vt:lpwstr>
  </property>
</Properties>
</file>