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       碑林区城市内涝灾后补偿筛查应优先关注首层和地下空间进水住户、老年或残障成员家庭、医疗服务中断点位以及影响地铁出入口和泵站运行的损失。</w:t>
      </w:r>
    </w:p>
    <w:p>
      <w:r>
        <w:t xml:space="preserve">        对证据不完整或争议较大的申报事项，应形成待人工复核清单后再进入最终审核。</w:t>
      </w:r>
    </w:p>
  </w:body>
</w:document>
</file>