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>
  <w:body>
    <w:p>
      <w:r>
        <w:t xml:space="preserve">        碑林区医院、文艺路社区卫生服务站、李家村门诊部和长安路急救点共同承担医疗转运和现场处置。</w:t>
      </w:r>
    </w:p>
    <w:p>
      <w:r>
        <w:t xml:space="preserve">        当地铁口、学校和老旧小区地下室同时出现险情时，医疗资源需要优先覆盖高龄与失能人群。</w:t>
      </w:r>
    </w:p>
  </w:body>
</w:document>
</file>