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        碑林体育中心、文艺路学校体育馆、和平门文化活动中心和东大街市民服务大厅构成一级安置网络，</w:t>
      </w:r>
    </w:p>
    <w:p>
      <w:r>
        <w:t xml:space="preserve">        李家村社区中心、建国路中学礼堂和柏树林街道活动室可作为二级补充分流点。</w:t>
      </w:r>
    </w:p>
  </w:body>
</w:document>
</file>