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《工程经济学》案例分析题完整解答</w:t>
      </w:r>
    </w:p>
    <w:p>
      <w:r>
        <w:rPr>
          <w:rFonts w:ascii="宋体" w:hAnsi="宋体" w:eastAsia="宋体"/>
          <w:b w:val="0"/>
          <w:sz w:val="21"/>
        </w:rPr>
        <w:t>说明：金额单位均为万元。流动资金按“第4年初投入”等同于第3年末现金流出处理；若课堂模板要求列在第4年末，财务净现值和动态回收期会略有差异。</w:t>
      </w:r>
    </w:p>
    <w:p>
      <w:r>
        <w:rPr>
          <w:rFonts w:ascii="宋体" w:hAnsi="宋体" w:eastAsia="宋体"/>
          <w:b/>
          <w:sz w:val="24"/>
        </w:rPr>
        <w:t>一、基础计算</w:t>
      </w:r>
    </w:p>
    <w:p>
      <w:r>
        <w:rPr>
          <w:rFonts w:ascii="宋体" w:hAnsi="宋体" w:eastAsia="宋体"/>
          <w:b w:val="0"/>
          <w:sz w:val="21"/>
        </w:rPr>
        <w:t>建设投资借款：第1年1000，第2年2000，第3年1000；借款按年中发生计息。建设期利息合计约630.5，资本化后建设投资借款本息约4631.0。固定资产原值=8000+631=8631，年折旧=8631×(1-5%)/15=546.6，计算期末固定资产余值=8631-546.6×12=2071.4。</w:t>
      </w:r>
    </w:p>
    <w:p>
      <w:r>
        <w:rPr>
          <w:rFonts w:ascii="宋体" w:hAnsi="宋体" w:eastAsia="宋体"/>
          <w:b/>
          <w:sz w:val="24"/>
        </w:rPr>
        <w:t>二、建设期利息计算表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年初欠款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当年借款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当年利息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年末欠款累计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1050.0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1050.0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205.0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3255.0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3255.0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375.5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4630.5</w:t>
            </w:r>
          </w:p>
        </w:tc>
      </w:tr>
    </w:tbl>
    <w:p>
      <w:r>
        <w:rPr>
          <w:rFonts w:ascii="宋体" w:hAnsi="宋体" w:eastAsia="宋体"/>
          <w:b/>
          <w:sz w:val="24"/>
        </w:rPr>
        <w:t>三、借款偿还计划及利息计算表</w:t>
      </w:r>
    </w:p>
    <w:p>
      <w:r>
        <w:rPr>
          <w:rFonts w:ascii="宋体" w:hAnsi="宋体" w:eastAsia="宋体"/>
          <w:b w:val="0"/>
          <w:sz w:val="21"/>
        </w:rPr>
        <w:t>建设期利息资本化后的借款本金4631.0万元，自第4年至第13年分10年等额还本，每年还本463.1万元。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年初欠款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当年利息支付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当年还本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年末尚欠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4631.0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4167.9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4167.9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416.8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3704.8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3704.8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370.5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3241.7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3241.7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324.2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2778.6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2778.6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277.9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2315.5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2315.5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231.6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1852.4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1852.4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185.2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1389.3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1389.3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138.9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926.2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926.2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92.6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46.3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</w:tr>
    </w:tbl>
    <w:p>
      <w:r>
        <w:rPr>
          <w:rFonts w:ascii="宋体" w:hAnsi="宋体" w:eastAsia="宋体"/>
          <w:b/>
          <w:sz w:val="24"/>
        </w:rPr>
        <w:t>四、利润与所得税计算表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营业收入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经营成本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折旧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建设投资借款利息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流动资金借款利息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营业税金及附加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利润总额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所得税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净利润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5600.0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463.1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521.3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130.3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391.0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416.8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1307.6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326.9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980.7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1353.9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338.5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1015.4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324.2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1400.2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1050.1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277.9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1446.5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361.6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1084.9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231.6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1492.8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373.2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1119.6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185.2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1539.1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384.8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1154.3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138.9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1585.4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396.4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1189.1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92.6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1631.8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407.9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1223.8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46.3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1678.1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419.5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1258.5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1724.4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431.1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1293.3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1724.4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431.1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1293.3</w:t>
            </w:r>
          </w:p>
        </w:tc>
      </w:tr>
    </w:tbl>
    <w:p>
      <w:r>
        <w:rPr>
          <w:rFonts w:ascii="宋体" w:hAnsi="宋体" w:eastAsia="宋体"/>
          <w:b/>
          <w:sz w:val="24"/>
        </w:rPr>
        <w:t>五、项目投资现金流量表</w:t>
      </w:r>
    </w:p>
    <w:p>
      <w:r>
        <w:rPr>
          <w:rFonts w:ascii="宋体" w:hAnsi="宋体" w:eastAsia="宋体"/>
          <w:b w:val="0"/>
          <w:sz w:val="21"/>
        </w:rPr>
        <w:t>项目投资现金流量表采用项目投资口径，融资利息不列为现金流出；调整所得税=(营业收入-经营成本-折旧-营业税金及附加)×25%。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年末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现金流入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营业收入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回收固定资产余值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回收流动资金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现金流出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建设投资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流动资金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经营成本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营业税金及附加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调整所得税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净现金流量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累计净现金流量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折现净现金流量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累计折现净现金流量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-2500.0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-2500.0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-2232.1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-2232.1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-3500.0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-6000.0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-2790.2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-5022.3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4490.0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-4490.0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-10490.0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-3195.9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-8218.2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5600.0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5600.0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4128.3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308.3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1471.7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-9018.3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935.3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-7282.9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-6991.7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1150.0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-6133.0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-4965.0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1026.8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-5106.2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-2938.4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916.8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-4189.4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-911.7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818.5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-3370.9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1114.9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730.8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-2640.1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3141.6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652.5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-1987.5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5168.3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582.6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-1404.9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7194.9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520.2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-884.7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9221.6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464.5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-420.3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11248.2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414.7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-5.6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12561.4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2071.4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2490.0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6588.1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17836.3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1203.6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1198.0</w:t>
            </w:r>
          </w:p>
        </w:tc>
      </w:tr>
    </w:tbl>
    <w:p>
      <w:r>
        <w:rPr>
          <w:rFonts w:ascii="宋体" w:hAnsi="宋体" w:eastAsia="宋体"/>
          <w:b/>
          <w:sz w:val="24"/>
        </w:rPr>
        <w:t>六、评价指标</w:t>
      </w:r>
    </w:p>
    <w:p>
      <w:r>
        <w:rPr>
          <w:rFonts w:ascii="宋体" w:hAnsi="宋体" w:eastAsia="宋体"/>
          <w:b w:val="0"/>
          <w:sz w:val="21"/>
        </w:rPr>
        <w:t>1. 项目投资财务净现值（ic=12%）：FNPV=1198.0万元。</w:t>
      </w:r>
    </w:p>
    <w:p>
      <w:r>
        <w:rPr>
          <w:rFonts w:ascii="宋体" w:hAnsi="宋体" w:eastAsia="宋体"/>
          <w:b w:val="0"/>
          <w:sz w:val="21"/>
        </w:rPr>
        <w:t>2. 静态投资回收期：Pt=8.45年。</w:t>
      </w:r>
    </w:p>
    <w:p>
      <w:r>
        <w:rPr>
          <w:rFonts w:ascii="宋体" w:hAnsi="宋体" w:eastAsia="宋体"/>
          <w:b w:val="0"/>
          <w:sz w:val="21"/>
        </w:rPr>
        <w:t>3. 动态投资回收期：Pt'=14.00年。</w:t>
      </w:r>
    </w:p>
    <w:p>
      <w:r>
        <w:rPr>
          <w:rFonts w:ascii="宋体" w:hAnsi="宋体" w:eastAsia="宋体"/>
          <w:b w:val="0"/>
          <w:sz w:val="21"/>
        </w:rPr>
        <w:t>4. 内部收益率：FIRR=14.30%。</w:t>
      </w:r>
    </w:p>
    <w:p>
      <w:r>
        <w:rPr>
          <w:rFonts w:ascii="宋体" w:hAnsi="宋体" w:eastAsia="宋体"/>
          <w:b w:val="0"/>
          <w:sz w:val="21"/>
        </w:rPr>
        <w:t>结论：FNPV&gt;0，FIRR&gt;基准收益率12%，项目在财务上可行。</w:t>
      </w:r>
    </w:p>
    <w:sectPr w:rsidR="00FC693F" w:rsidRPr="0006063C" w:rsidSect="00034616">
      <w:pgSz w:w="12240" w:h="15840"/>
      <w:pgMar w:top="840" w:right="720" w:bottom="8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