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588119">
      <w:pPr>
        <w:adjustRightInd w:val="0"/>
        <w:spacing w:line="312" w:lineRule="atLeast"/>
        <w:jc w:val="center"/>
        <w:textAlignment w:val="baseline"/>
        <w:rPr>
          <w:rFonts w:ascii="黑体" w:hAnsi="Courier New" w:eastAsia="黑体" w:cs="Times New Roman"/>
          <w:kern w:val="0"/>
          <w:sz w:val="32"/>
          <w:szCs w:val="20"/>
        </w:rPr>
      </w:pPr>
      <w:r>
        <w:rPr>
          <w:rFonts w:hint="eastAsia" w:ascii="黑体" w:hAnsi="Courier New" w:eastAsia="黑体" w:cs="Times New Roman"/>
          <w:kern w:val="0"/>
          <w:sz w:val="32"/>
          <w:szCs w:val="20"/>
        </w:rPr>
        <w:t>202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val="en-US" w:eastAsia="zh-CN"/>
        </w:rPr>
        <w:t>6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年西安电子科技大学数学建模校</w:t>
      </w:r>
      <w:r>
        <w:rPr>
          <w:rFonts w:hint="eastAsia" w:ascii="黑体" w:hAnsi="Courier New" w:eastAsia="黑体" w:cs="Times New Roman"/>
          <w:kern w:val="0"/>
          <w:sz w:val="32"/>
          <w:szCs w:val="20"/>
          <w:lang w:eastAsia="zh-CN"/>
        </w:rPr>
        <w:t>内</w:t>
      </w:r>
      <w:r>
        <w:rPr>
          <w:rFonts w:hint="eastAsia" w:ascii="黑体" w:hAnsi="Courier New" w:eastAsia="黑体" w:cs="Times New Roman"/>
          <w:kern w:val="0"/>
          <w:sz w:val="32"/>
          <w:szCs w:val="20"/>
        </w:rPr>
        <w:t>赛题目</w:t>
      </w:r>
    </w:p>
    <w:p w14:paraId="453CB883">
      <w:pPr>
        <w:jc w:val="center"/>
        <w:rPr>
          <w:rFonts w:hint="eastAsia" w:ascii="华文楷体" w:hAnsi="华文楷体" w:eastAsia="华文楷体" w:cs="Times New Roman"/>
          <w:sz w:val="28"/>
          <w:szCs w:val="28"/>
        </w:rPr>
      </w:pPr>
      <w:r>
        <w:rPr>
          <w:rFonts w:ascii="华文楷体" w:hAnsi="华文楷体" w:eastAsia="华文楷体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386080</wp:posOffset>
                </wp:positionV>
                <wp:extent cx="5257800" cy="7620"/>
                <wp:effectExtent l="0" t="28575" r="0" b="40005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762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pt;margin-top:30.4pt;height:0.6pt;width:414pt;z-index:251659264;mso-width-relative:page;mso-height-relative:page;" filled="f" stroked="t" coordsize="21600,21600" o:gfxdata="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wJw1jYAAAACAEAAA8AAAAAAAAAAQAgAAAAIgAAAGRycy9kb3ducmV2Lnht&#10;bFBLAQIUABQAAAAIAIdO4kDdAz/0+QEAAM0DAAAOAAAAAAAAAAEAIAAAACcBAABkcnMvZTJvRG9j&#10;LnhtbFBLBQYAAAAABgAGAFkBAACSBQAAAAA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Times New Roman"/>
          <w:sz w:val="28"/>
          <w:szCs w:val="28"/>
        </w:rPr>
        <w:t>（请先阅读“西安电子科技大学2026校内赛格式规范”）</w:t>
      </w:r>
    </w:p>
    <w:p w14:paraId="4524BC4B">
      <w:pPr>
        <w:jc w:val="center"/>
        <w:rPr>
          <w:rFonts w:hint="eastAsia" w:ascii="华文楷体" w:hAnsi="华文楷体" w:eastAsia="华文楷体" w:cs="Times New Roman"/>
          <w:sz w:val="28"/>
          <w:szCs w:val="28"/>
        </w:rPr>
      </w:pPr>
    </w:p>
    <w:p w14:paraId="1A95F6F4">
      <w:pPr>
        <w:jc w:val="center"/>
        <w:rPr>
          <w:rFonts w:hint="eastAsia" w:ascii="黑体" w:hAnsi="黑体" w:eastAsia="黑体" w:cs="黑体"/>
          <w:kern w:val="2"/>
          <w:sz w:val="32"/>
          <w:szCs w:val="40"/>
          <w:highlight w:val="none"/>
        </w:rPr>
      </w:pPr>
      <w:r>
        <w:rPr>
          <w:rFonts w:hint="eastAsia" w:ascii="黑体" w:hAnsi="黑体" w:eastAsia="黑体" w:cs="黑体"/>
          <w:kern w:val="2"/>
          <w:sz w:val="32"/>
          <w:szCs w:val="40"/>
          <w:highlight w:val="none"/>
          <w:lang w:val="en-US" w:eastAsia="zh-CN"/>
        </w:rPr>
        <w:t xml:space="preserve">C </w:t>
      </w:r>
      <w:r>
        <w:rPr>
          <w:rFonts w:ascii="黑体" w:hAnsi="黑体" w:eastAsia="黑体" w:cs="黑体"/>
          <w:kern w:val="2"/>
          <w:sz w:val="32"/>
          <w:szCs w:val="40"/>
          <w:highlight w:val="none"/>
        </w:rPr>
        <w:t>校园社交平台“好友关系与社交价值”分析</w:t>
      </w:r>
    </w:p>
    <w:p w14:paraId="062FB467">
      <w:pPr>
        <w:jc w:val="center"/>
        <w:rPr>
          <w:rFonts w:hint="eastAsia" w:ascii="黑体" w:hAnsi="黑体" w:eastAsia="黑体" w:cs="黑体"/>
          <w:kern w:val="2"/>
          <w:sz w:val="32"/>
          <w:szCs w:val="40"/>
          <w:highlight w:val="none"/>
        </w:rPr>
      </w:pPr>
      <w:bookmarkStart w:id="0" w:name="_GoBack"/>
      <w:bookmarkEnd w:id="0"/>
    </w:p>
    <w:p w14:paraId="6F288B03">
      <w:pPr>
        <w:pStyle w:val="17"/>
        <w:ind w:firstLine="500"/>
        <w:jc w:val="both"/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在移动互联网深度嵌入高校日常生活的当下，校园社交平台早已超越“灌水”与“晒图”的单一功能，成为学生获取课程资料、寻找竞赛队友、发布实习信息、组织社团活动乃至建立情感支持的“第二校园”。对校方而言，它也是精准推送就业、心理、奖助等公共服务的最短路径。某高校自研的“校园圈”自 2021 年上线以来，凭借实名学号注册、与教务系统打通的身份校验机制，迅速沉淀了 8000 余名有效用户，实现了本科四年制与研究生阶段、理工农医与人文社科、校级社团与院级协会的全覆盖。</w:t>
      </w:r>
    </w:p>
    <w:p w14:paraId="0169E9C1">
      <w:pPr>
        <w:pStyle w:val="17"/>
        <w:ind w:firstLine="500"/>
        <w:jc w:val="both"/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然而，数据光环背后，运营团队却面临“沉默的大多数”困境：日活曲线在开学两周冲顶后迅速滑落，头部用户贡献了大部分的内容与 互动，剩余进入“潜水”或“流失”状态；信息传播呈现“院系墙”与“社团墙”现象，相同的通知在不同学院传播效率不同；好友推荐模块沿用简单“共同好友计数”逻辑，导致新生与老生的弱关系需求、跨学科合作需求、同城实习信息共享需求被淹没在“同班同宿舍”的同质化推荐列表里。如何让沉默用户浮出水面、让信息穿透壁垒、让推荐跳出熟人圈，成为平台能否从“工具”升级为“生态”的关键。</w:t>
      </w:r>
    </w:p>
    <w:p w14:paraId="573947BC">
      <w:pPr>
        <w:pStyle w:val="17"/>
        <w:ind w:firstLine="500"/>
        <w:jc w:val="both"/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根据附件数据建立模型，回答以下问题：</w:t>
      </w:r>
    </w:p>
    <w:p w14:paraId="4B81E119">
      <w:pPr>
        <w:pStyle w:val="17"/>
        <w:numPr>
          <w:ilvl w:val="0"/>
          <w:numId w:val="1"/>
        </w:numPr>
        <w:jc w:val="both"/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对于社交平台，识别社群特征是划分用户人群的关键，也是好友推荐机制和消息推送机制的基础。请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基于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附件数据中“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好友关系表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”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与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“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用户属性表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”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，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至少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从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“有哪些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社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交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群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体”和“社群之间是否存在关系及关系强弱”两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方面分析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该数据表体现的社交网络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eastAsia="zh-CN"/>
        </w:rPr>
        <w:t>，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重点找出内部连接密度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最大（此处对紧密做了定性，同时不限定方法）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的5个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社群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，并分析这5个社群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eastAsia="zh-CN"/>
        </w:rPr>
        <w:t>在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成员分布、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eastAsia="zh-CN"/>
        </w:rPr>
        <w:t>功能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定位上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是否存在重叠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对重叠增加了定义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eastAsia="zh-CN"/>
        </w:rPr>
        <w:t>）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。</w:t>
      </w:r>
    </w:p>
    <w:p w14:paraId="50A54D4E">
      <w:pPr>
        <w:pStyle w:val="17"/>
        <w:numPr>
          <w:ilvl w:val="0"/>
          <w:numId w:val="1"/>
        </w:numPr>
        <w:jc w:val="both"/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为促进社交活跃度，帮助新用户快速融入、老用户拓展同好，需要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设计好友推荐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机制。请根据目前数据表中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含有的属性、行为等数据特征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，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分析好友之间存在的特性。基于此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寻找与S11还不是好友的用户中最为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合适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的3位，并分析还不是好友的可能的原因，为好友推荐机制提供参考。</w:t>
      </w:r>
    </w:p>
    <w:p w14:paraId="70937F47">
      <w:pPr>
        <w:pStyle w:val="17"/>
        <w:numPr>
          <w:ilvl w:val="0"/>
          <w:numId w:val="1"/>
        </w:numPr>
        <w:jc w:val="both"/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信息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推送需要同时考虑精准性和传播效率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，信息传播中的关键用户就显得尤为重要。假设信息沿着好友关系网络传播，发帖后好友会在其活跃时段看到该帖子，并有一定概率转发（见参考资料中的概率公式），非好友不能看到。请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结合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附件数据中的“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行为数据表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”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与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“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好友关系表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”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，构建信息传播概率模型并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以此来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筛选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关键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用户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。假设有一个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 xml:space="preserve"> “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科技类话题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 xml:space="preserve">” 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信息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，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请找出有利于该话题传播的关键用户，并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模拟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该关键用户于正午12:00发帖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后 48 小时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内的信息</w:t>
      </w:r>
      <w: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  <w:t>传播过程。</w:t>
      </w:r>
    </w:p>
    <w:p w14:paraId="29797A7A">
      <w:pPr>
        <w:pStyle w:val="17"/>
        <w:ind w:left="425"/>
        <w:jc w:val="both"/>
        <w:rPr>
          <w:rFonts w:hint="eastAsia" w:ascii="微软雅黑" w:hAnsi="微软雅黑" w:eastAsia="微软雅黑" w:cs="Times New Roman"/>
          <w:b/>
          <w:bCs/>
          <w:kern w:val="2"/>
          <w:sz w:val="24"/>
          <w:szCs w:val="24"/>
          <w:highlight w:val="none"/>
        </w:rPr>
      </w:pPr>
      <w:r>
        <w:rPr>
          <w:rFonts w:hint="eastAsia" w:ascii="微软雅黑" w:hAnsi="微软雅黑" w:eastAsia="微软雅黑" w:cs="Times New Roman"/>
          <w:b/>
          <w:bCs/>
          <w:kern w:val="2"/>
          <w:sz w:val="24"/>
          <w:szCs w:val="24"/>
          <w:highlight w:val="none"/>
        </w:rPr>
        <w:t>以下为选做题：</w:t>
      </w:r>
    </w:p>
    <w:p w14:paraId="1D738ABB">
      <w:pPr>
        <w:pStyle w:val="17"/>
        <w:numPr>
          <w:ilvl w:val="0"/>
          <w:numId w:val="1"/>
        </w:numPr>
        <w:jc w:val="both"/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为了提升信息传播效率、活跃社交平台生态，社交平台系统根据已有数据为每条信息面向“活跃用户”精准提供若干个信息推送名额。现有一个“文化类话题”的信息，系统为此信息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每天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设置了10个推送名额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eastAsia="zh-CN"/>
        </w:rPr>
        <w:t>，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推送可以分批、不同时段进行（</w:t>
      </w:r>
      <w:r>
        <w:rPr>
          <w:rFonts w:hint="eastAsia" w:ascii="Times New Roman" w:hAnsi="Times New Roman" w:cs="Times New Roman" w:eastAsiaTheme="minorEastAsia"/>
          <w:color w:val="0000FF"/>
          <w:kern w:val="2"/>
          <w:sz w:val="24"/>
          <w:szCs w:val="24"/>
          <w:highlight w:val="none"/>
          <w:lang w:val="en-US" w:eastAsia="zh-CN"/>
        </w:rPr>
        <w:t>比如说上午5个，下午5个这样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）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eastAsia="zh-CN"/>
        </w:rPr>
        <w:t>，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假设系统推送的用户在推送时刻立刻看到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。试分析系统如何针对不同社群、不同活跃度人物进行精准推送，才能使得该信息在发帖后48小时内的传播范围最大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eastAsia="zh-CN"/>
        </w:rPr>
        <w:t>，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最大是多少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？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eastAsia="zh-CN"/>
        </w:rPr>
        <w:t>（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val="en-US" w:eastAsia="zh-CN"/>
        </w:rPr>
        <w:t>改为使得传播范围最大，不限定比例，避免复杂化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  <w:lang w:eastAsia="zh-CN"/>
        </w:rPr>
        <w:t>）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并基于你的策略模拟验证。</w:t>
      </w:r>
      <w:r>
        <w:rPr>
          <w:rFonts w:hint="eastAsia" w:ascii="Times New Roman" w:hAnsi="Times New Roman" w:cs="Times New Roman" w:eastAsiaTheme="minorEastAsia"/>
          <w:color w:val="0000FF"/>
          <w:kern w:val="2"/>
          <w:sz w:val="24"/>
          <w:szCs w:val="24"/>
          <w:highlight w:val="none"/>
          <w:lang w:val="en-US" w:eastAsia="zh-CN"/>
        </w:rPr>
        <w:t>此问经模拟验证，传播范围最大约172人。</w:t>
      </w:r>
    </w:p>
    <w:p w14:paraId="562668AD">
      <w:pPr>
        <w:pStyle w:val="17"/>
        <w:rPr>
          <w:rFonts w:hint="eastAsia" w:ascii="黑体" w:hAnsi="黑体" w:eastAsia="黑体" w:cs="黑体"/>
          <w:kern w:val="2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kern w:val="2"/>
          <w:sz w:val="24"/>
          <w:szCs w:val="24"/>
          <w:highlight w:val="none"/>
        </w:rPr>
        <w:t>参考资料</w:t>
      </w:r>
    </w:p>
    <w:p w14:paraId="1A8A962F">
      <w:pPr>
        <w:pStyle w:val="17"/>
        <w:ind w:firstLine="480" w:firstLineChars="200"/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用户</w:t>
      </w:r>
      <w:r>
        <w:rPr>
          <w:rFonts w:hint="eastAsia" w:ascii="Times New Roman" w:hAnsi="Times New Roman" w:cs="Times New Roman" w:eastAsiaTheme="minorEastAsia"/>
          <w:i/>
          <w:iCs/>
          <w:kern w:val="2"/>
          <w:sz w:val="24"/>
          <w:szCs w:val="24"/>
          <w:highlight w:val="none"/>
        </w:rPr>
        <w:t>u</w:t>
      </w: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看到某类消息，转发概率采用以下公式：</w:t>
      </w:r>
    </w:p>
    <w:p w14:paraId="51B03AAD">
      <w:pPr>
        <w:pStyle w:val="17"/>
        <w:jc w:val="center"/>
        <w:rPr>
          <w:rFonts w:hint="eastAsia" w:ascii="黑体" w:hAnsi="黑体" w:eastAsia="黑体" w:cs="黑体"/>
          <w:kern w:val="2"/>
          <w:position w:val="-70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kern w:val="2"/>
          <w:position w:val="-70"/>
          <w:sz w:val="24"/>
          <w:szCs w:val="24"/>
          <w:highlight w:val="none"/>
        </w:rPr>
        <w:object>
          <v:shape id="_x0000_i1025" o:spt="75" type="#_x0000_t75" style="height:54.2pt;width:300.1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f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</w:p>
    <w:p w14:paraId="70C7E220">
      <w:pPr>
        <w:pStyle w:val="17"/>
        <w:ind w:firstLine="480" w:firstLineChars="200"/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变量与参数说明见下表：</w:t>
      </w:r>
    </w:p>
    <w:tbl>
      <w:tblPr>
        <w:tblStyle w:val="10"/>
        <w:tblW w:w="736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49"/>
        <w:gridCol w:w="2354"/>
        <w:gridCol w:w="4257"/>
      </w:tblGrid>
      <w:tr w14:paraId="4CD506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49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3AD951">
            <w:pPr>
              <w:widowControl/>
              <w:snapToGrid w:val="0"/>
              <w:jc w:val="center"/>
              <w:textAlignment w:val="top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  <w:lang w:bidi="ar"/>
              </w:rPr>
              <w:t>符号</w:t>
            </w:r>
          </w:p>
        </w:tc>
        <w:tc>
          <w:tcPr>
            <w:tcW w:w="2354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FBD49">
            <w:pPr>
              <w:widowControl/>
              <w:snapToGrid w:val="0"/>
              <w:jc w:val="center"/>
              <w:textAlignment w:val="top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  <w:lang w:bidi="ar"/>
              </w:rPr>
              <w:t>含义</w:t>
            </w:r>
          </w:p>
        </w:tc>
        <w:tc>
          <w:tcPr>
            <w:tcW w:w="4257" w:type="dxa"/>
            <w:tcBorders>
              <w:top w:val="single" w:color="auto" w:sz="12" w:space="0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D7097">
            <w:pPr>
              <w:widowControl/>
              <w:snapToGrid w:val="0"/>
              <w:jc w:val="center"/>
              <w:textAlignment w:val="top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  <w:lang w:bidi="ar"/>
              </w:rPr>
              <w:t>数据来源</w:t>
            </w:r>
          </w:p>
        </w:tc>
      </w:tr>
      <w:tr w14:paraId="1D77A5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49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5BE28">
            <w:pPr>
              <w:widowControl/>
              <w:snapToGrid w:val="0"/>
              <w:jc w:val="center"/>
              <w:textAlignment w:val="top"/>
              <w:rPr>
                <w:sz w:val="24"/>
                <w:szCs w:val="24"/>
                <w:highlight w:val="none"/>
              </w:rPr>
            </w:pPr>
            <w:r>
              <w:rPr>
                <w:position w:val="-12"/>
                <w:sz w:val="24"/>
                <w:szCs w:val="24"/>
                <w:highlight w:val="none"/>
              </w:rPr>
              <w:object>
                <v:shape id="_x0000_i1026" o:spt="75" type="#_x0000_t75" style="height:18.9pt;width:14.9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f"/>
                  <w10:wrap type="none"/>
                  <w10:anchorlock/>
                </v:shape>
                <o:OLEObject Type="Embed" ProgID="Equation.DSMT4" ShapeID="_x0000_i1026" DrawAspect="Content" ObjectID="_1468075726" r:id="rId6">
                  <o:LockedField>false</o:LockedField>
                </o:OLEObject>
              </w:object>
            </w:r>
          </w:p>
        </w:tc>
        <w:tc>
          <w:tcPr>
            <w:tcW w:w="2354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CC4E4">
            <w:pPr>
              <w:widowControl/>
              <w:snapToGrid w:val="0"/>
              <w:jc w:val="left"/>
              <w:textAlignment w:val="top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bidi="ar"/>
              </w:rPr>
              <w:t>用户</w:t>
            </w:r>
            <w:r>
              <w:rPr>
                <w:i/>
                <w:iCs/>
                <w:sz w:val="24"/>
                <w:szCs w:val="24"/>
                <w:highlight w:val="none"/>
                <w:lang w:bidi="ar"/>
              </w:rPr>
              <w:t>u</w:t>
            </w:r>
            <w:r>
              <w:rPr>
                <w:sz w:val="24"/>
                <w:szCs w:val="24"/>
                <w:highlight w:val="none"/>
                <w:lang w:bidi="ar"/>
              </w:rPr>
              <w:t>的对应类话题参与度</w:t>
            </w:r>
          </w:p>
        </w:tc>
        <w:tc>
          <w:tcPr>
            <w:tcW w:w="4257" w:type="dxa"/>
            <w:tcBorders>
              <w:top w:val="single" w:color="auto" w:sz="4" w:space="0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A6028">
            <w:pPr>
              <w:widowControl/>
              <w:snapToGrid w:val="0"/>
              <w:jc w:val="left"/>
              <w:textAlignment w:val="top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bidi="ar"/>
              </w:rPr>
              <w:t>行为数据表</w:t>
            </w:r>
          </w:p>
        </w:tc>
      </w:tr>
      <w:tr w14:paraId="11CF69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200642">
            <w:pPr>
              <w:widowControl/>
              <w:snapToGrid w:val="0"/>
              <w:jc w:val="center"/>
              <w:textAlignment w:val="top"/>
              <w:rPr>
                <w:sz w:val="24"/>
                <w:szCs w:val="24"/>
                <w:highlight w:val="none"/>
              </w:rPr>
            </w:pPr>
            <w:r>
              <w:rPr>
                <w:position w:val="-12"/>
                <w:sz w:val="24"/>
                <w:szCs w:val="24"/>
                <w:highlight w:val="none"/>
              </w:rPr>
              <w:object>
                <v:shape id="_x0000_i1027" o:spt="75" type="#_x0000_t75" style="height:18.2pt;width:13.9pt;" o:ole="t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f"/>
                  <w10:wrap type="none"/>
                  <w10:anchorlock/>
                </v:shape>
                <o:OLEObject Type="Embed" ProgID="Equation.DSMT4" ShapeID="_x0000_i1027" DrawAspect="Content" ObjectID="_1468075727" r:id="rId8">
                  <o:LockedField>false</o:LockedField>
                </o:OLEObject>
              </w:objec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CDD94">
            <w:pPr>
              <w:widowControl/>
              <w:snapToGrid w:val="0"/>
              <w:jc w:val="left"/>
              <w:textAlignment w:val="top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bidi="ar"/>
              </w:rPr>
              <w:t>用户</w:t>
            </w:r>
            <w:r>
              <w:rPr>
                <w:i/>
                <w:iCs/>
                <w:sz w:val="24"/>
                <w:szCs w:val="24"/>
                <w:highlight w:val="none"/>
                <w:lang w:bidi="ar"/>
              </w:rPr>
              <w:t>u</w:t>
            </w:r>
            <w:r>
              <w:rPr>
                <w:sz w:val="24"/>
                <w:szCs w:val="24"/>
                <w:highlight w:val="none"/>
                <w:lang w:bidi="ar"/>
              </w:rPr>
              <w:t>的平均互动频率</w:t>
            </w:r>
          </w:p>
        </w:tc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D5B2C">
            <w:pPr>
              <w:widowControl/>
              <w:snapToGrid w:val="0"/>
              <w:jc w:val="left"/>
              <w:textAlignment w:val="top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bidi="ar"/>
              </w:rPr>
              <w:t>行为数据表</w:t>
            </w:r>
          </w:p>
        </w:tc>
      </w:tr>
      <w:tr w14:paraId="79EE42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49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89828">
            <w:pPr>
              <w:widowControl/>
              <w:snapToGrid w:val="0"/>
              <w:jc w:val="center"/>
              <w:textAlignment w:val="top"/>
              <w:rPr>
                <w:sz w:val="24"/>
                <w:szCs w:val="24"/>
                <w:highlight w:val="none"/>
                <w:lang w:bidi="ar"/>
              </w:rPr>
            </w:pPr>
            <w:r>
              <w:rPr>
                <w:position w:val="-12"/>
                <w:sz w:val="24"/>
                <w:szCs w:val="24"/>
                <w:highlight w:val="none"/>
                <w:lang w:bidi="ar"/>
              </w:rPr>
              <w:object>
                <v:shape id="_x0000_i1028" o:spt="75" type="#_x0000_t75" style="height:18.2pt;width:18.2pt;" o:ole="t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f"/>
                  <w10:wrap type="none"/>
                  <w10:anchorlock/>
                </v:shape>
                <o:OLEObject Type="Embed" ProgID="Equation.DSMT4" ShapeID="_x0000_i1028" DrawAspect="Content" ObjectID="_1468075728" r:id="rId10">
                  <o:LockedField>false</o:LockedField>
                </o:OLEObject>
              </w:object>
            </w:r>
          </w:p>
        </w:tc>
        <w:tc>
          <w:tcPr>
            <w:tcW w:w="2354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21338">
            <w:pPr>
              <w:widowControl/>
              <w:snapToGrid w:val="0"/>
              <w:jc w:val="left"/>
              <w:textAlignment w:val="top"/>
              <w:rPr>
                <w:sz w:val="24"/>
                <w:szCs w:val="24"/>
                <w:highlight w:val="none"/>
                <w:lang w:bidi="ar"/>
              </w:rPr>
            </w:pPr>
            <w:r>
              <w:rPr>
                <w:sz w:val="24"/>
                <w:szCs w:val="24"/>
                <w:highlight w:val="none"/>
                <w:lang w:bidi="ar"/>
              </w:rPr>
              <w:t>用户</w:t>
            </w:r>
            <w:r>
              <w:rPr>
                <w:i/>
                <w:iCs/>
                <w:sz w:val="24"/>
                <w:szCs w:val="24"/>
                <w:highlight w:val="none"/>
                <w:lang w:bidi="ar"/>
              </w:rPr>
              <w:t>u</w:t>
            </w:r>
            <w:r>
              <w:rPr>
                <w:rStyle w:val="12"/>
                <w:b w:val="0"/>
                <w:sz w:val="24"/>
                <w:szCs w:val="24"/>
                <w:highlight w:val="none"/>
                <w:lang w:bidi="ar"/>
              </w:rPr>
              <w:t>首次看到</w:t>
            </w:r>
            <w:r>
              <w:rPr>
                <w:sz w:val="24"/>
                <w:szCs w:val="24"/>
                <w:highlight w:val="none"/>
                <w:lang w:bidi="ar"/>
              </w:rPr>
              <w:t>帖子距发布的时间</w:t>
            </w:r>
            <w:r>
              <w:rPr>
                <w:rFonts w:hint="eastAsia"/>
                <w:sz w:val="24"/>
                <w:szCs w:val="24"/>
                <w:highlight w:val="none"/>
                <w:lang w:bidi="ar"/>
              </w:rPr>
              <w:t>（小时）</w:t>
            </w:r>
          </w:p>
        </w:tc>
        <w:tc>
          <w:tcPr>
            <w:tcW w:w="4257" w:type="dxa"/>
            <w:tcBorders>
              <w:top w:val="nil"/>
              <w:left w:val="nil"/>
              <w:bottom w:val="single" w:color="auto" w:sz="12" w:space="0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81944">
            <w:pPr>
              <w:widowControl/>
              <w:snapToGrid w:val="0"/>
              <w:jc w:val="left"/>
              <w:textAlignment w:val="top"/>
              <w:rPr>
                <w:sz w:val="24"/>
                <w:szCs w:val="24"/>
                <w:highlight w:val="none"/>
                <w:lang w:bidi="ar"/>
              </w:rPr>
            </w:pPr>
            <w:r>
              <w:rPr>
                <w:sz w:val="24"/>
                <w:szCs w:val="24"/>
                <w:highlight w:val="none"/>
                <w:lang w:bidi="ar"/>
              </w:rPr>
              <w:t>行为数据表</w:t>
            </w:r>
            <w:r>
              <w:rPr>
                <w:rFonts w:hint="eastAsia"/>
                <w:sz w:val="24"/>
                <w:szCs w:val="24"/>
                <w:highlight w:val="none"/>
                <w:lang w:bidi="ar"/>
              </w:rPr>
              <w:t>，假设上午对应10:00看到，下午对应15:00看到，晚上对应20:00看到，全天对应立刻看到。例如第三问的情况，假设该发帖人有一名活跃在“上午”的好友，好友将在次日上午10:00看到原帖</w:t>
            </w:r>
          </w:p>
        </w:tc>
      </w:tr>
    </w:tbl>
    <w:p w14:paraId="4472AD29">
      <w:pPr>
        <w:pStyle w:val="17"/>
        <w:ind w:firstLine="500"/>
        <w:rPr>
          <w:rFonts w:ascii="Times New Roman" w:hAnsi="Times New Roman" w:cs="Times New Roman" w:eastAsiaTheme="minorEastAsia"/>
          <w:b/>
          <w:bCs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4"/>
          <w:szCs w:val="24"/>
          <w:highlight w:val="none"/>
        </w:rPr>
        <w:t>若该用户多次看到此帖子，每次看到后的转发事件视为独立事件。</w:t>
      </w:r>
    </w:p>
    <w:p w14:paraId="7E69DD6D">
      <w:pPr>
        <w:pStyle w:val="17"/>
        <w:rPr>
          <w:rFonts w:hint="eastAsia" w:ascii="黑体" w:hAnsi="黑体" w:eastAsia="黑体" w:cs="黑体"/>
          <w:kern w:val="2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kern w:val="2"/>
          <w:sz w:val="24"/>
          <w:szCs w:val="24"/>
          <w:highlight w:val="none"/>
        </w:rPr>
        <w:t>参考文献</w:t>
      </w:r>
    </w:p>
    <w:p w14:paraId="3E608F24">
      <w:pPr>
        <w:pStyle w:val="17"/>
        <w:numPr>
          <w:ilvl w:val="0"/>
          <w:numId w:val="2"/>
        </w:numPr>
        <w:rPr>
          <w:rFonts w:ascii="Times New Roman" w:hAnsi="Times New Roman" w:cs="Times New Roman" w:eastAsiaTheme="minorEastAsia"/>
          <w:kern w:val="2"/>
          <w:sz w:val="24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潘理,吴鹏,黄丹华.在线社交网络群体发现研究进展[J].电子与信息学报,2017,39(09):2097-2107.</w:t>
      </w:r>
    </w:p>
    <w:p w14:paraId="3456D702">
      <w:pPr>
        <w:pStyle w:val="17"/>
        <w:numPr>
          <w:ilvl w:val="0"/>
          <w:numId w:val="2"/>
        </w:numPr>
        <w:rPr>
          <w:rFonts w:ascii="Times New Roman" w:hAnsi="Times New Roman" w:cs="Times New Roman" w:eastAsiaTheme="minorEastAsia"/>
          <w:kern w:val="2"/>
          <w:sz w:val="21"/>
          <w:szCs w:val="24"/>
          <w:highlight w:val="none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highlight w:val="none"/>
        </w:rPr>
        <w:t>张怡文,岳丽华,张义飞,等.基于共同用户和相似标签的好友推荐方法[J].计算机应用,2013,33(08):2273-2275.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255A80C-404E-44B9-8572-C1AE7CFC3FE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2" w:fontKey="{8CC670FC-13DD-4C9F-A793-A8DD1319327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67D16871-56BF-44E8-8BBF-24852320856A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165EA577-632F-43E5-8625-0931D40D484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5FF19"/>
    <w:multiLevelType w:val="singleLevel"/>
    <w:tmpl w:val="0175FF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8315B55"/>
    <w:multiLevelType w:val="singleLevel"/>
    <w:tmpl w:val="38315B55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562"/>
    <w:rsid w:val="000265FB"/>
    <w:rsid w:val="000702D4"/>
    <w:rsid w:val="000839B9"/>
    <w:rsid w:val="00203CA5"/>
    <w:rsid w:val="004E4F4D"/>
    <w:rsid w:val="005E5368"/>
    <w:rsid w:val="006525D8"/>
    <w:rsid w:val="006A1202"/>
    <w:rsid w:val="007E1A33"/>
    <w:rsid w:val="009C434D"/>
    <w:rsid w:val="00A32159"/>
    <w:rsid w:val="00A66562"/>
    <w:rsid w:val="00AE14AD"/>
    <w:rsid w:val="00B87055"/>
    <w:rsid w:val="00B94DE0"/>
    <w:rsid w:val="00E67137"/>
    <w:rsid w:val="00E873D7"/>
    <w:rsid w:val="00EE6EC7"/>
    <w:rsid w:val="00FE3586"/>
    <w:rsid w:val="08452820"/>
    <w:rsid w:val="099F7CCB"/>
    <w:rsid w:val="09AA4438"/>
    <w:rsid w:val="0B3C3565"/>
    <w:rsid w:val="0CBE467B"/>
    <w:rsid w:val="1F3802BD"/>
    <w:rsid w:val="200F714F"/>
    <w:rsid w:val="26404627"/>
    <w:rsid w:val="29F51284"/>
    <w:rsid w:val="2BB138D1"/>
    <w:rsid w:val="2F917CA1"/>
    <w:rsid w:val="31F46171"/>
    <w:rsid w:val="31FA257C"/>
    <w:rsid w:val="3B9338B4"/>
    <w:rsid w:val="3CF045C1"/>
    <w:rsid w:val="452F78E8"/>
    <w:rsid w:val="505F48DF"/>
    <w:rsid w:val="514141DD"/>
    <w:rsid w:val="52E92EA8"/>
    <w:rsid w:val="538F5462"/>
    <w:rsid w:val="580C1D0B"/>
    <w:rsid w:val="62700892"/>
    <w:rsid w:val="62F94AE8"/>
    <w:rsid w:val="723E0BF3"/>
    <w:rsid w:val="75E009AD"/>
    <w:rsid w:val="76BC7F83"/>
    <w:rsid w:val="78A31E65"/>
    <w:rsid w:val="790D121A"/>
    <w:rsid w:val="7E73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380" w:after="140" w:line="288" w:lineRule="auto"/>
      <w:outlineLvl w:val="0"/>
    </w:pPr>
    <w:rPr>
      <w:rFonts w:ascii="Arial" w:hAnsi="Arial" w:eastAsia="等线" w:cs="Arial"/>
      <w:b/>
      <w:bCs/>
      <w:sz w:val="36"/>
      <w:szCs w:val="36"/>
      <w:lang w:val="en-US" w:eastAsia="zh-CN" w:bidi="ar-SA"/>
    </w:rPr>
  </w:style>
  <w:style w:type="paragraph" w:styleId="3">
    <w:name w:val="heading 2"/>
    <w:next w:val="1"/>
    <w:qFormat/>
    <w:uiPriority w:val="0"/>
    <w:pPr>
      <w:spacing w:before="320" w:after="120" w:line="288" w:lineRule="auto"/>
      <w:outlineLvl w:val="1"/>
    </w:pPr>
    <w:rPr>
      <w:rFonts w:ascii="Arial" w:hAnsi="Arial" w:eastAsia="等线" w:cs="Arial"/>
      <w:b/>
      <w:bCs/>
      <w:sz w:val="32"/>
      <w:szCs w:val="32"/>
      <w:lang w:val="en-US" w:eastAsia="zh-CN" w:bidi="ar-SA"/>
    </w:rPr>
  </w:style>
  <w:style w:type="paragraph" w:styleId="4">
    <w:name w:val="heading 3"/>
    <w:next w:val="1"/>
    <w:qFormat/>
    <w:uiPriority w:val="0"/>
    <w:pPr>
      <w:spacing w:before="300" w:after="120" w:line="288" w:lineRule="auto"/>
      <w:outlineLvl w:val="2"/>
    </w:pPr>
    <w:rPr>
      <w:rFonts w:ascii="Arial" w:hAnsi="Arial" w:eastAsia="等线" w:cs="Arial"/>
      <w:b/>
      <w:bCs/>
      <w:sz w:val="30"/>
      <w:szCs w:val="30"/>
      <w:lang w:val="en-US" w:eastAsia="zh-CN" w:bidi="ar-SA"/>
    </w:rPr>
  </w:style>
  <w:style w:type="paragraph" w:styleId="5">
    <w:name w:val="heading 4"/>
    <w:next w:val="1"/>
    <w:qFormat/>
    <w:uiPriority w:val="0"/>
    <w:pPr>
      <w:spacing w:before="260" w:after="120" w:line="288" w:lineRule="auto"/>
      <w:outlineLvl w:val="3"/>
    </w:pPr>
    <w:rPr>
      <w:rFonts w:ascii="Arial" w:hAnsi="Arial" w:eastAsia="等线" w:cs="Arial"/>
      <w:b/>
      <w:bCs/>
      <w:sz w:val="28"/>
      <w:szCs w:val="28"/>
      <w:lang w:val="en-US" w:eastAsia="zh-CN" w:bidi="ar-SA"/>
    </w:rPr>
  </w:style>
  <w:style w:type="paragraph" w:styleId="6">
    <w:name w:val="heading 5"/>
    <w:next w:val="1"/>
    <w:qFormat/>
    <w:uiPriority w:val="0"/>
    <w:pPr>
      <w:spacing w:before="240" w:after="120" w:line="288" w:lineRule="auto"/>
      <w:outlineLvl w:val="4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paragraph" w:styleId="7">
    <w:name w:val="heading 6"/>
    <w:next w:val="1"/>
    <w:qFormat/>
    <w:uiPriority w:val="0"/>
    <w:pPr>
      <w:spacing w:before="240" w:after="120" w:line="288" w:lineRule="auto"/>
      <w:outlineLvl w:val="5"/>
    </w:pPr>
    <w:rPr>
      <w:rFonts w:ascii="Arial" w:hAnsi="Arial" w:eastAsia="等线" w:cs="Arial"/>
      <w:b/>
      <w:bCs/>
      <w:sz w:val="24"/>
      <w:szCs w:val="24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rPr>
      <w:rFonts w:ascii="Times New Roman" w:hAnsi="Times New Roman" w:eastAsia="宋体" w:cs="Times New Roman"/>
      <w:lang w:val="en-US" w:eastAsia="zh-CN" w:bidi="ar-SA"/>
    </w:rPr>
  </w:style>
  <w:style w:type="paragraph" w:styleId="9">
    <w:name w:val="Title"/>
    <w:qFormat/>
    <w:uiPriority w:val="0"/>
    <w:pPr>
      <w:spacing w:before="480" w:after="480" w:line="288" w:lineRule="auto"/>
    </w:pPr>
    <w:rPr>
      <w:rFonts w:ascii="Arial" w:hAnsi="Arial" w:eastAsia="等线" w:cs="Arial"/>
      <w:b/>
      <w:bCs/>
      <w:sz w:val="52"/>
      <w:szCs w:val="52"/>
      <w:lang w:val="en-US" w:eastAsia="zh-CN" w:bidi="ar-SA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character" w:styleId="14">
    <w:name w:val="footnote reference"/>
    <w:semiHidden/>
    <w:unhideWhenUsed/>
    <w:qFormat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Times New Roman" w:hAnsi="Times New Roman" w:eastAsia="宋体" w:cs="Times New Roman"/>
      <w:sz w:val="21"/>
      <w:szCs w:val="22"/>
      <w:lang w:val="en-US" w:eastAsia="zh-CN" w:bidi="ar-SA"/>
    </w:rPr>
  </w:style>
  <w:style w:type="character" w:customStyle="1" w:styleId="16">
    <w:name w:val="脚注文本 字符"/>
    <w:link w:val="8"/>
    <w:semiHidden/>
    <w:unhideWhenUsed/>
    <w:qFormat/>
    <w:uiPriority w:val="99"/>
    <w:rPr>
      <w:sz w:val="20"/>
      <w:szCs w:val="20"/>
    </w:rPr>
  </w:style>
  <w:style w:type="paragraph" w:customStyle="1" w:styleId="17">
    <w:name w:val="_Style 13"/>
    <w:qFormat/>
    <w:uiPriority w:val="0"/>
    <w:pPr>
      <w:spacing w:before="120" w:after="120" w:line="288" w:lineRule="auto"/>
    </w:pPr>
    <w:rPr>
      <w:rFonts w:ascii="Arial" w:hAnsi="Arial" w:eastAsia="等线" w:cs="Arial"/>
      <w:sz w:val="22"/>
      <w:szCs w:val="22"/>
      <w:lang w:val="en-US" w:eastAsia="zh-CN" w:bidi="ar-SA"/>
    </w:rPr>
  </w:style>
  <w:style w:type="paragraph" w:customStyle="1" w:styleId="18">
    <w:name w:val="_Style 14"/>
    <w:qFormat/>
    <w:uiPriority w:val="0"/>
    <w:pPr>
      <w:spacing w:before="120" w:after="120" w:line="288" w:lineRule="auto"/>
    </w:pPr>
    <w:rPr>
      <w:rFonts w:ascii="Arial" w:hAnsi="Arial" w:eastAsia="等线" w:cs="Arial"/>
      <w:color w:val="8F959E"/>
      <w:sz w:val="22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1554</Words>
  <Characters>1637</Characters>
  <Lines>11</Lines>
  <Paragraphs>3</Paragraphs>
  <TotalTime>0</TotalTime>
  <ScaleCrop>false</ScaleCrop>
  <LinksUpToDate>false</LinksUpToDate>
  <CharactersWithSpaces>1646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2025-09-16T14:08:00Z</dcterms:created>
  <dc:creator>Un-named</dc:creator>
  <cp:lastModifiedBy>邦</cp:lastModifiedBy>
  <dcterms:modified xsi:type="dcterms:W3CDTF">2026-04-30T02:29:19Z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eyJoZGlkIjoiYzAxNDFmMmYzNmY4YTc3Y2ZiZTdkNDRhZDBiMDI4ZDYiLCJ1c2VySWQiOiI0NTY4NDUzMzMifQ==</vt:lpwstr>
  </property>
  <property fmtid="{D5CDD505-2E9C-101B-9397-08002B2CF9AE}" pid="4" name="ICV">
    <vt:lpwstr>34301B80246044A1AA7C4481516F5BF0_13</vt:lpwstr>
  </property>
</Properties>
</file>