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校园社交平台"好友关系与社交价值"分析</w:t>
      </w:r>
    </w:p>
    <w:p>
      <w:pPr>
        <w:jc w:val="center"/>
      </w:pPr>
      <w:r>
        <w:rPr>
          <w:rFonts w:ascii="宋体" w:hAnsi="宋体" w:eastAsia="宋体"/>
          <w:b w:val="0"/>
          <w:sz w:val="28"/>
        </w:rPr>
        <w:t>2026年西安电子科技大学数学建模校内赛 C题</w:t>
      </w:r>
    </w:p>
    <w:p/>
    <w:p>
      <w:pPr>
        <w:pStyle w:val="Heading1"/>
      </w:pPr>
      <w:r>
        <w:rPr>
          <w:rFonts w:ascii="黑体" w:hAnsi="黑体" w:eastAsia="黑体"/>
        </w:rPr>
        <w:t>摘要</w:t>
      </w:r>
    </w:p>
    <w:p>
      <w:r>
        <w:rPr>
          <w:rFonts w:ascii="宋体" w:hAnsi="宋体" w:eastAsia="宋体"/>
          <w:b w:val="0"/>
        </w:rPr>
        <w:t>本文针对校园社交平台"校园圈"的用户关系与信息传播问题，基于好友关系表、用户属性表和行为数据表，综合运用复杂网络分析、多维度相似度计算和独立级联传播模型，完成了社群发现、好友推荐、关键用户识别和精准推送策略四项任务。</w:t>
        <w:br/>
        <w:br/>
        <w:t>社群发现方面，采用 Louvain 算法从 200 用户、1198 条好友关系中识别出 7 个社群（模块度 Q=0.2586），提取了密度最大的 5 个社群进行特征画像，发现社群间无成员重叠但功能定位各有侧重。</w:t>
        <w:br/>
        <w:br/>
        <w:t>好友推荐方面，构建了包含共同好友 Jaccard、同年级、同专业类别、共同社团、同活跃时段和行为余弦相似度的六维加权模型，为目标用户 S11 推荐了 S149（得分 0.567）、S146（0.536）和 S131（0.535）三位最合适的好友。</w:t>
        <w:br/>
        <w:br/>
        <w:t>信息传播方面，建立了基于转发概率公式的独立级联模型，通过蒙特卡洛模拟（30 次取平均）筛选出科技类话题关键用户 S6，其 48 小时传播范围达 186 人，传播过程呈 S 型增长曲线。精准推送策略达到 191 人传播范围，验证了策略的有效性。</w:t>
        <w:br/>
        <w:br/>
        <w:t>关键词：社交网络分析；Louvain 社区发现；好友推荐；独立级联模型；信息传播</w:t>
      </w:r>
    </w:p>
    <w:p>
      <w:pPr>
        <w:pStyle w:val="Heading1"/>
      </w:pPr>
      <w:r>
        <w:rPr>
          <w:rFonts w:ascii="黑体" w:hAnsi="黑体" w:eastAsia="黑体"/>
        </w:rPr>
        <w:t>目录</w:t>
      </w:r>
    </w:p>
    <w:p>
      <w:r>
        <w:rPr>
          <w:rFonts w:ascii="宋体" w:hAnsi="宋体" w:eastAsia="宋体"/>
          <w:b w:val="0"/>
        </w:rPr>
        <w:t>（请在 Word 中插入自动目录：引用 → 目录 → 自动目录）</w:t>
      </w:r>
    </w:p>
    <w:p>
      <w:pPr>
        <w:pStyle w:val="Heading1"/>
      </w:pPr>
      <w:r>
        <w:rPr>
          <w:rFonts w:ascii="黑体" w:hAnsi="黑体" w:eastAsia="黑体"/>
        </w:rPr>
        <w:t>1. 问题重述</w:t>
      </w:r>
    </w:p>
    <w:p>
      <w:r>
        <w:rPr>
          <w:rFonts w:ascii="宋体" w:hAnsi="宋体" w:eastAsia="宋体"/>
          <w:b w:val="0"/>
        </w:rPr>
        <w:t>某高校自研的"校园圈"社交平台自 2021 年上线以来，沉淀了 8000 余名有效用户。然而平台面临"沉默的大多数"困境：日活在开学两周后下滑，头部用户贡献大部分内容，信息传播存在"院系墙"和"社团墙"现象，好友推荐沿用简单的"共同好友计数"逻辑。本题要求基于附件数据中的好友关系表、用户属性表和行为数据表，解决以下四个问题：</w:t>
      </w:r>
    </w:p>
    <w:p>
      <w:r>
        <w:rPr>
          <w:rFonts w:ascii="宋体" w:hAnsi="宋体" w:eastAsia="宋体"/>
          <w:b w:val="0"/>
        </w:rPr>
        <w:t>问题一：识别社交网络中的社群结构，找出内部连接密度最大的 5 个社群，分析成员分布和功能定位的重叠性。</w:t>
        <w:br/>
        <w:t>问题二：分析好友之间存在的共有特性，为目标用户 S11 推荐 3 位最合适的好友，并分析未成为好友的原因。</w:t>
        <w:br/>
        <w:t>问题三：构建信息传播概率模型，筛选有利于科技类话题传播的关键用户，模拟 48 小时内的传播过程。</w:t>
        <w:br/>
        <w:t>问题四（选做）：针对文化类话题，设计推送策略使 48 小时内传播范围最大化。</w:t>
      </w:r>
    </w:p>
    <w:p>
      <w:pPr>
        <w:pStyle w:val="Heading1"/>
      </w:pPr>
      <w:r>
        <w:rPr>
          <w:rFonts w:ascii="黑体" w:hAnsi="黑体" w:eastAsia="黑体"/>
        </w:rPr>
        <w:t>2. 问题分析</w:t>
      </w:r>
    </w:p>
    <w:p>
      <w:r>
        <w:rPr>
          <w:rFonts w:ascii="宋体" w:hAnsi="宋体" w:eastAsia="宋体"/>
          <w:b w:val="0"/>
        </w:rPr>
        <w:t>问题一本质上是复杂网络中的社区发现问题。社交平台的好友关系构成一个无向无权图，节点为用户、边为好友关系。需要在不预设社群数量的前提下自动发现社群结构，并对密度最高的社群做特征画像。Louvain 算法通过模块度优化可满足需求。</w:t>
        <w:br/>
        <w:br/>
        <w:t>问题二是典型的社交推荐问题，核心在于度量用户之间的多维相似性。除传统的共同好友计数外，还应综合考虑年级、专业、社团参与、行为特征等属性，构建加权评分模型。</w:t>
        <w:br/>
        <w:br/>
        <w:t>问题三是信息传播建模问题。独立级联模型（ICM）适合模拟社交网络中的级联传播，转发概率需结合题目提供的公式实现。关键用户筛选通过对每个用户作为初始发帖人进行蒙特卡洛模拟完成。</w:t>
        <w:br/>
        <w:br/>
        <w:t>问题四是组合优化问题，需要在推送名额约束下选择推送用户和推送时机，使传播范围最大化。</w:t>
      </w:r>
    </w:p>
    <w:p>
      <w:pPr>
        <w:pStyle w:val="Heading1"/>
      </w:pPr>
      <w:r>
        <w:rPr>
          <w:rFonts w:ascii="黑体" w:hAnsi="黑体" w:eastAsia="黑体"/>
        </w:rPr>
        <w:t>3. 模型假设</w:t>
      </w:r>
    </w:p>
    <w:p>
      <w:pPr>
        <w:pStyle w:val="ListNumber"/>
      </w:pPr>
      <w:r>
        <w:t>好友关系为无向且静态，不考虑关系强度差异和随时间的变化。</w:t>
      </w:r>
    </w:p>
    <w:p>
      <w:pPr>
        <w:pStyle w:val="ListNumber"/>
      </w:pPr>
      <w:r>
        <w:t>用户活跃时段固定，且在该时段内用户一定会查看消息。</w:t>
      </w:r>
    </w:p>
    <w:p>
      <w:pPr>
        <w:pStyle w:val="ListNumber"/>
      </w:pPr>
      <w:r>
        <w:t>转发的消息对其所有好友可见，不考虑平台推荐算法的干预。</w:t>
      </w:r>
    </w:p>
    <w:p>
      <w:pPr>
        <w:pStyle w:val="ListNumber"/>
      </w:pPr>
      <w:r>
        <w:t>用户多次看到同一消息时，每次转发的决策相互独立。</w:t>
      </w:r>
    </w:p>
    <w:p>
      <w:pPr>
        <w:pStyle w:val="ListNumber"/>
      </w:pPr>
      <w:r>
        <w:t>系统推送的用户在推送时刻立即看到消息（问题四假设）。</w:t>
      </w:r>
    </w:p>
    <w:p>
      <w:pPr>
        <w:pStyle w:val="Heading1"/>
      </w:pPr>
      <w:r>
        <w:rPr>
          <w:rFonts w:ascii="黑体" w:hAnsi="黑体" w:eastAsia="黑体"/>
        </w:rPr>
        <w:t>4. 符号说明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符号</w:t>
            </w:r>
          </w:p>
        </w:tc>
        <w:tc>
          <w:tcPr>
            <w:tcW w:type="dxa" w:w="2880"/>
          </w:tcPr>
          <w:p>
            <w:r>
              <w:rPr>
                <w:b/>
              </w:rPr>
              <w:t>含义</w:t>
            </w:r>
          </w:p>
        </w:tc>
        <w:tc>
          <w:tcPr>
            <w:tcW w:type="dxa" w:w="2880"/>
          </w:tcPr>
          <w:p>
            <w:r>
              <w:rPr>
                <w:b/>
              </w:rPr>
              <w:t>说明</w:t>
            </w:r>
          </w:p>
        </w:tc>
      </w:tr>
      <w:tr>
        <w:tc>
          <w:tcPr>
            <w:tcW w:type="dxa" w:w="2880"/>
          </w:tcPr>
          <w:p>
            <w:r>
              <w:t>G(V,E)</w:t>
            </w:r>
          </w:p>
        </w:tc>
        <w:tc>
          <w:tcPr>
            <w:tcW w:type="dxa" w:w="2880"/>
          </w:tcPr>
          <w:p>
            <w:r>
              <w:t>社交网络图</w:t>
            </w:r>
          </w:p>
        </w:tc>
        <w:tc>
          <w:tcPr>
            <w:tcW w:type="dxa" w:w="2880"/>
          </w:tcPr>
          <w:p>
            <w:r>
              <w:t>V=200 用户, E=1198 条边</w:t>
            </w:r>
          </w:p>
        </w:tc>
      </w:tr>
      <w:tr>
        <w:tc>
          <w:tcPr>
            <w:tcW w:type="dxa" w:w="2880"/>
          </w:tcPr>
          <w:p>
            <w:r>
              <w:t>Q</w:t>
            </w:r>
          </w:p>
        </w:tc>
        <w:tc>
          <w:tcPr>
            <w:tcW w:type="dxa" w:w="2880"/>
          </w:tcPr>
          <w:p>
            <w:r>
              <w:t>模块度</w:t>
            </w:r>
          </w:p>
        </w:tc>
        <w:tc>
          <w:tcPr>
            <w:tcW w:type="dxa" w:w="2880"/>
          </w:tcPr>
          <w:p>
            <w:r>
              <w:t>衡量社群划分质量，取值范围[-0.5,1]</w:t>
            </w:r>
          </w:p>
        </w:tc>
      </w:tr>
      <w:tr>
        <w:tc>
          <w:tcPr>
            <w:tcW w:type="dxa" w:w="2880"/>
          </w:tcPr>
          <w:p>
            <w:r>
              <w:t>Sim(u,v)</w:t>
            </w:r>
          </w:p>
        </w:tc>
        <w:tc>
          <w:tcPr>
            <w:tcW w:type="dxa" w:w="2880"/>
          </w:tcPr>
          <w:p>
            <w:r>
              <w:t>用户 u,v 的相似度</w:t>
            </w:r>
          </w:p>
        </w:tc>
        <w:tc>
          <w:tcPr>
            <w:tcW w:type="dxa" w:w="2880"/>
          </w:tcPr>
          <w:p>
            <w:r>
              <w:t>综合六维特征加权求和</w:t>
            </w:r>
          </w:p>
        </w:tc>
      </w:tr>
      <w:tr>
        <w:tc>
          <w:tcPr>
            <w:tcW w:type="dxa" w:w="2880"/>
          </w:tcPr>
          <w:p>
            <w:r>
              <w:t>J(A,B)</w:t>
            </w:r>
          </w:p>
        </w:tc>
        <w:tc>
          <w:tcPr>
            <w:tcW w:type="dxa" w:w="2880"/>
          </w:tcPr>
          <w:p>
            <w:r>
              <w:t>Jaccard 相似度</w:t>
            </w:r>
          </w:p>
        </w:tc>
        <w:tc>
          <w:tcPr>
            <w:tcW w:type="dxa" w:w="2880"/>
          </w:tcPr>
          <w:p>
            <w:r>
              <w:t>|A∩B|/|A∪B|</w:t>
            </w:r>
          </w:p>
        </w:tc>
      </w:tr>
      <w:tr>
        <w:tc>
          <w:tcPr>
            <w:tcW w:type="dxa" w:w="2880"/>
          </w:tcPr>
          <w:p>
            <w:r>
              <w:t>P_u(t)</w:t>
            </w:r>
          </w:p>
        </w:tc>
        <w:tc>
          <w:tcPr>
            <w:tcW w:type="dxa" w:w="2880"/>
          </w:tcPr>
          <w:p>
            <w:r>
              <w:t>用户 u 转发概率</w:t>
            </w:r>
          </w:p>
        </w:tc>
        <w:tc>
          <w:tcPr>
            <w:tcW w:type="dxa" w:w="2880"/>
          </w:tcPr>
          <w:p>
            <w:r>
              <w:t>参与度、互动频率、时间的函数</w:t>
            </w:r>
          </w:p>
        </w:tc>
      </w:tr>
      <w:tr>
        <w:tc>
          <w:tcPr>
            <w:tcW w:type="dxa" w:w="2880"/>
          </w:tcPr>
          <w:p>
            <w:r>
              <w:t>Δt</w:t>
            </w:r>
          </w:p>
        </w:tc>
        <w:tc>
          <w:tcPr>
            <w:tcW w:type="dxa" w:w="2880"/>
          </w:tcPr>
          <w:p>
            <w:r>
              <w:t>首次看到距发帖时间</w:t>
            </w:r>
          </w:p>
        </w:tc>
        <w:tc>
          <w:tcPr>
            <w:tcW w:type="dxa" w:w="2880"/>
          </w:tcPr>
          <w:p>
            <w:r>
              <w:t>单位：小时</w:t>
            </w:r>
          </w:p>
        </w:tc>
      </w:tr>
      <w:tr>
        <w:tc>
          <w:tcPr>
            <w:tcW w:type="dxa" w:w="2880"/>
          </w:tcPr>
          <w:p>
            <w:r>
              <w:t>D(u)</w:t>
            </w:r>
          </w:p>
        </w:tc>
        <w:tc>
          <w:tcPr>
            <w:tcW w:type="dxa" w:w="2880"/>
          </w:tcPr>
          <w:p>
            <w:r>
              <w:t>用户 u 的度数</w:t>
            </w:r>
          </w:p>
        </w:tc>
        <w:tc>
          <w:tcPr>
            <w:tcW w:type="dxa" w:w="2880"/>
          </w:tcPr>
          <w:p>
            <w:r>
              <w:t>好友数量</w:t>
            </w:r>
          </w:p>
        </w:tc>
      </w:tr>
    </w:tbl>
    <w:p>
      <w:pPr>
        <w:pStyle w:val="Heading1"/>
      </w:pPr>
      <w:r>
        <w:rPr>
          <w:rFonts w:ascii="黑体" w:hAnsi="黑体" w:eastAsia="黑体"/>
        </w:rPr>
        <w:t>5. 模型建立与求解</w:t>
      </w:r>
    </w:p>
    <w:p>
      <w:pPr>
        <w:pStyle w:val="Heading2"/>
      </w:pPr>
      <w:r>
        <w:rPr>
          <w:rFonts w:ascii="黑体" w:hAnsi="黑体" w:eastAsia="黑体"/>
        </w:rPr>
        <w:t>5.1 问题一：基于 Louvain 算法的社群发现</w:t>
      </w:r>
    </w:p>
    <w:p>
      <w:r>
        <w:rPr>
          <w:rFonts w:ascii="宋体" w:hAnsi="宋体" w:eastAsia="宋体"/>
          <w:b w:val="0"/>
        </w:rPr>
        <w:t>5.1.1 模型建立</w:t>
        <w:br/>
        <w:t>构建无向图 G(V,E)，其中 V 为 200 名用户，E 为 1198 条好友关系。采用 Louvain 算法进行社区发现：该算法通过迭代优化模块度 Q 来发现社群结构，无需预设社群数量。模块度定义为：</w:t>
        <w:br/>
        <w:t xml:space="preserve">    Q = (1/2m) * Σ[A_ij - k_i*k_j/(2m)] * δ(c_i,c_j)</w:t>
        <w:br/>
        <w:t>其中 A_ij 为邻接矩阵，k_i 为节点 i 的度数，m 为边数，c_i 为节点 i 所属社群。</w:t>
        <w:br/>
        <w:br/>
        <w:t>社群内部边密度定义为：</w:t>
        <w:br/>
        <w:t xml:space="preserve">    density = 2E_in / [N(N-1)]</w:t>
        <w:br/>
        <w:t>其中 E_in 为社群内部边数，N 为社群节点数。</w:t>
      </w:r>
    </w:p>
    <w:p>
      <w:r>
        <w:rPr>
          <w:rFonts w:ascii="宋体" w:hAnsi="宋体" w:eastAsia="宋体"/>
          <w:b w:val="0"/>
        </w:rPr>
        <w:t>5.1.2 求解结果</w:t>
        <w:br/>
        <w:t>Louvain 算法将 200 名用户划分为 7 个社群，模块度 Q=0.2586，说明网络存在一定的社群结构。按内部边密度排序，密度最大的 5 个社群如下表所示：</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排名</w:t>
            </w:r>
          </w:p>
        </w:tc>
        <w:tc>
          <w:tcPr>
            <w:tcW w:type="dxa" w:w="2160"/>
          </w:tcPr>
          <w:p>
            <w:r>
              <w:rPr>
                <w:b/>
              </w:rPr>
              <w:t>社群编号</w:t>
            </w:r>
          </w:p>
        </w:tc>
        <w:tc>
          <w:tcPr>
            <w:tcW w:type="dxa" w:w="2160"/>
          </w:tcPr>
          <w:p>
            <w:r>
              <w:rPr>
                <w:b/>
              </w:rPr>
              <w:t>规模（人）</w:t>
            </w:r>
          </w:p>
        </w:tc>
        <w:tc>
          <w:tcPr>
            <w:tcW w:type="dxa" w:w="2160"/>
          </w:tcPr>
          <w:p>
            <w:r>
              <w:rPr>
                <w:b/>
              </w:rPr>
              <w:t>内部边密度</w:t>
            </w:r>
          </w:p>
        </w:tc>
      </w:tr>
      <w:tr>
        <w:tc>
          <w:tcPr>
            <w:tcW w:type="dxa" w:w="2160"/>
          </w:tcPr>
          <w:p>
            <w:r>
              <w:t>1</w:t>
            </w:r>
          </w:p>
        </w:tc>
        <w:tc>
          <w:tcPr>
            <w:tcW w:type="dxa" w:w="2160"/>
          </w:tcPr>
          <w:p>
            <w:r>
              <w:t>社群3</w:t>
            </w:r>
          </w:p>
        </w:tc>
        <w:tc>
          <w:tcPr>
            <w:tcW w:type="dxa" w:w="2160"/>
          </w:tcPr>
          <w:p>
            <w:r>
              <w:t>32</w:t>
            </w:r>
          </w:p>
        </w:tc>
        <w:tc>
          <w:tcPr>
            <w:tcW w:type="dxa" w:w="2160"/>
          </w:tcPr>
          <w:p>
            <w:r>
              <w:t>0.276</w:t>
            </w:r>
          </w:p>
        </w:tc>
      </w:tr>
      <w:tr>
        <w:tc>
          <w:tcPr>
            <w:tcW w:type="dxa" w:w="2160"/>
          </w:tcPr>
          <w:p>
            <w:r>
              <w:t>2</w:t>
            </w:r>
          </w:p>
        </w:tc>
        <w:tc>
          <w:tcPr>
            <w:tcW w:type="dxa" w:w="2160"/>
          </w:tcPr>
          <w:p>
            <w:r>
              <w:t>社群4</w:t>
            </w:r>
          </w:p>
        </w:tc>
        <w:tc>
          <w:tcPr>
            <w:tcW w:type="dxa" w:w="2160"/>
          </w:tcPr>
          <w:p>
            <w:r>
              <w:t>19</w:t>
            </w:r>
          </w:p>
        </w:tc>
        <w:tc>
          <w:tcPr>
            <w:tcW w:type="dxa" w:w="2160"/>
          </w:tcPr>
          <w:p>
            <w:r>
              <w:t>0.216</w:t>
            </w:r>
          </w:p>
        </w:tc>
      </w:tr>
      <w:tr>
        <w:tc>
          <w:tcPr>
            <w:tcW w:type="dxa" w:w="2160"/>
          </w:tcPr>
          <w:p>
            <w:r>
              <w:t>3</w:t>
            </w:r>
          </w:p>
        </w:tc>
        <w:tc>
          <w:tcPr>
            <w:tcW w:type="dxa" w:w="2160"/>
          </w:tcPr>
          <w:p>
            <w:r>
              <w:t>社群5</w:t>
            </w:r>
          </w:p>
        </w:tc>
        <w:tc>
          <w:tcPr>
            <w:tcW w:type="dxa" w:w="2160"/>
          </w:tcPr>
          <w:p>
            <w:r>
              <w:t>20</w:t>
            </w:r>
          </w:p>
        </w:tc>
        <w:tc>
          <w:tcPr>
            <w:tcW w:type="dxa" w:w="2160"/>
          </w:tcPr>
          <w:p>
            <w:r>
              <w:t>0.200</w:t>
            </w:r>
          </w:p>
        </w:tc>
      </w:tr>
      <w:tr>
        <w:tc>
          <w:tcPr>
            <w:tcW w:type="dxa" w:w="2160"/>
          </w:tcPr>
          <w:p>
            <w:r>
              <w:t>4</w:t>
            </w:r>
          </w:p>
        </w:tc>
        <w:tc>
          <w:tcPr>
            <w:tcW w:type="dxa" w:w="2160"/>
          </w:tcPr>
          <w:p>
            <w:r>
              <w:t>社群2</w:t>
            </w:r>
          </w:p>
        </w:tc>
        <w:tc>
          <w:tcPr>
            <w:tcW w:type="dxa" w:w="2160"/>
          </w:tcPr>
          <w:p>
            <w:r>
              <w:t>24</w:t>
            </w:r>
          </w:p>
        </w:tc>
        <w:tc>
          <w:tcPr>
            <w:tcW w:type="dxa" w:w="2160"/>
          </w:tcPr>
          <w:p>
            <w:r>
              <w:t>0.163</w:t>
            </w:r>
          </w:p>
        </w:tc>
      </w:tr>
      <w:tr>
        <w:tc>
          <w:tcPr>
            <w:tcW w:type="dxa" w:w="2160"/>
          </w:tcPr>
          <w:p>
            <w:r>
              <w:t>5</w:t>
            </w:r>
          </w:p>
        </w:tc>
        <w:tc>
          <w:tcPr>
            <w:tcW w:type="dxa" w:w="2160"/>
          </w:tcPr>
          <w:p>
            <w:r>
              <w:t>社群6</w:t>
            </w:r>
          </w:p>
        </w:tc>
        <w:tc>
          <w:tcPr>
            <w:tcW w:type="dxa" w:w="2160"/>
          </w:tcPr>
          <w:p>
            <w:r>
              <w:t>34</w:t>
            </w:r>
          </w:p>
        </w:tc>
        <w:tc>
          <w:tcPr>
            <w:tcW w:type="dxa" w:w="2160"/>
          </w:tcPr>
          <w:p>
            <w:r>
              <w:t>0.157</w:t>
            </w:r>
          </w:p>
        </w:tc>
      </w:tr>
    </w:tbl>
    <w:p>
      <w:r>
        <w:rPr>
          <w:rFonts w:ascii="宋体" w:hAnsi="宋体" w:eastAsia="宋体"/>
          <w:b w:val="0"/>
        </w:rPr>
      </w:r>
    </w:p>
    <w:p>
      <w:r>
        <w:rPr>
          <w:rFonts w:ascii="宋体" w:hAnsi="宋体" w:eastAsia="宋体"/>
          <w:b w:val="0"/>
        </w:rPr>
        <w:t>社群特征分析发现：社群3以工科为主（占53%），学生会和科协活跃，平均科技参与度最高（6.19）；社群4理科偏多，学术社团集中，平均文化参与度最高（6.00）；社群5文科和理科混合，志愿者协会活跃；社群2工科与文科混合，电子科技协会活跃；社群6各年级分布均匀，科技类话题参与度较高（5.82）。社群重叠度分析显示，5 个社群的 Jaccard 相似度均为 0，说明 Louvain 划分的社群互不重叠，功能定位区分明显。</w:t>
      </w:r>
    </w:p>
    <w:p>
      <w:r>
        <w:drawing>
          <wp:inline xmlns:a="http://schemas.openxmlformats.org/drawingml/2006/main" xmlns:pic="http://schemas.openxmlformats.org/drawingml/2006/picture">
            <wp:extent cx="5029200" cy="3579536"/>
            <wp:docPr id="1" name="Picture 1"/>
            <wp:cNvGraphicFramePr>
              <a:graphicFrameLocks noChangeAspect="1"/>
            </wp:cNvGraphicFramePr>
            <a:graphic>
              <a:graphicData uri="http://schemas.openxmlformats.org/drawingml/2006/picture">
                <pic:pic>
                  <pic:nvPicPr>
                    <pic:cNvPr id="0" name="community.png"/>
                    <pic:cNvPicPr/>
                  </pic:nvPicPr>
                  <pic:blipFill>
                    <a:blip r:embed="rId9"/>
                    <a:stretch>
                      <a:fillRect/>
                    </a:stretch>
                  </pic:blipFill>
                  <pic:spPr>
                    <a:xfrm>
                      <a:off x="0" y="0"/>
                      <a:ext cx="5029200" cy="3579536"/>
                    </a:xfrm>
                    <a:prstGeom prst="rect"/>
                  </pic:spPr>
                </pic:pic>
              </a:graphicData>
            </a:graphic>
          </wp:inline>
        </w:drawing>
      </w:r>
    </w:p>
    <w:p>
      <w:pPr>
        <w:jc w:val="center"/>
      </w:pPr>
      <w:r>
        <w:rPr>
          <w:rFonts w:ascii="宋体" w:hAnsi="宋体" w:eastAsia="宋体"/>
          <w:b w:val="0"/>
          <w:sz w:val="20"/>
        </w:rPr>
        <w:t>图1 校园圈社交网络社群结构图</w:t>
      </w:r>
    </w:p>
    <w:p>
      <w:r>
        <w:drawing>
          <wp:inline xmlns:a="http://schemas.openxmlformats.org/drawingml/2006/main" xmlns:pic="http://schemas.openxmlformats.org/drawingml/2006/picture">
            <wp:extent cx="5029200" cy="2665431"/>
            <wp:docPr id="2" name="Picture 2"/>
            <wp:cNvGraphicFramePr>
              <a:graphicFrameLocks noChangeAspect="1"/>
            </wp:cNvGraphicFramePr>
            <a:graphic>
              <a:graphicData uri="http://schemas.openxmlformats.org/drawingml/2006/picture">
                <pic:pic>
                  <pic:nvPicPr>
                    <pic:cNvPr id="0" name="community_comparison.png"/>
                    <pic:cNvPicPr/>
                  </pic:nvPicPr>
                  <pic:blipFill>
                    <a:blip r:embed="rId10"/>
                    <a:stretch>
                      <a:fillRect/>
                    </a:stretch>
                  </pic:blipFill>
                  <pic:spPr>
                    <a:xfrm>
                      <a:off x="0" y="0"/>
                      <a:ext cx="5029200" cy="2665431"/>
                    </a:xfrm>
                    <a:prstGeom prst="rect"/>
                  </pic:spPr>
                </pic:pic>
              </a:graphicData>
            </a:graphic>
          </wp:inline>
        </w:drawing>
      </w:r>
    </w:p>
    <w:p>
      <w:pPr>
        <w:jc w:val="center"/>
      </w:pPr>
      <w:r>
        <w:rPr>
          <w:rFonts w:ascii="宋体" w:hAnsi="宋体" w:eastAsia="宋体"/>
          <w:b w:val="0"/>
          <w:sz w:val="20"/>
        </w:rPr>
        <w:t>图2 五社群多维特征对比</w:t>
      </w:r>
    </w:p>
    <w:p>
      <w:r>
        <w:drawing>
          <wp:inline xmlns:a="http://schemas.openxmlformats.org/drawingml/2006/main" xmlns:pic="http://schemas.openxmlformats.org/drawingml/2006/picture">
            <wp:extent cx="5029200" cy="3923930"/>
            <wp:docPr id="3" name="Picture 3"/>
            <wp:cNvGraphicFramePr>
              <a:graphicFrameLocks noChangeAspect="1"/>
            </wp:cNvGraphicFramePr>
            <a:graphic>
              <a:graphicData uri="http://schemas.openxmlformats.org/drawingml/2006/picture">
                <pic:pic>
                  <pic:nvPicPr>
                    <pic:cNvPr id="0" name="overlap_heatmap.png"/>
                    <pic:cNvPicPr/>
                  </pic:nvPicPr>
                  <pic:blipFill>
                    <a:blip r:embed="rId11"/>
                    <a:stretch>
                      <a:fillRect/>
                    </a:stretch>
                  </pic:blipFill>
                  <pic:spPr>
                    <a:xfrm>
                      <a:off x="0" y="0"/>
                      <a:ext cx="5029200" cy="3923930"/>
                    </a:xfrm>
                    <a:prstGeom prst="rect"/>
                  </pic:spPr>
                </pic:pic>
              </a:graphicData>
            </a:graphic>
          </wp:inline>
        </w:drawing>
      </w:r>
    </w:p>
    <w:p>
      <w:pPr>
        <w:jc w:val="center"/>
      </w:pPr>
      <w:r>
        <w:rPr>
          <w:rFonts w:ascii="宋体" w:hAnsi="宋体" w:eastAsia="宋体"/>
          <w:b w:val="0"/>
          <w:sz w:val="20"/>
        </w:rPr>
        <w:t>图3 社群重叠度热力图</w:t>
      </w:r>
    </w:p>
    <w:p>
      <w:pPr>
        <w:pStyle w:val="Heading2"/>
      </w:pPr>
      <w:r>
        <w:rPr>
          <w:rFonts w:ascii="黑体" w:hAnsi="黑体" w:eastAsia="黑体"/>
        </w:rPr>
        <w:t>5.2 问题二：基于多维相似度的好友推荐</w:t>
      </w:r>
    </w:p>
    <w:p>
      <w:r>
        <w:rPr>
          <w:rFonts w:ascii="宋体" w:hAnsi="宋体" w:eastAsia="宋体"/>
          <w:b w:val="0"/>
        </w:rPr>
        <w:t>5.2.1 模型建立</w:t>
        <w:br/>
        <w:t>构建六维度加权相似度评分模型，综合评估用户间的匹配程度：</w:t>
        <w:br/>
        <w:br/>
        <w:t xml:space="preserve">  Score(u,v) = 0.30×J_friends + 0.10×I_grade + 0.15×I_major</w:t>
        <w:br/>
        <w:t xml:space="preserve">               + 0.20×J_society + 0.10×I_active + 0.15×cos_behavior</w:t>
        <w:br/>
        <w:br/>
        <w:t>各维度说明：</w:t>
        <w:br/>
        <w:t>• J_friends：共同好友 Jaccard 相似度（权重 0.30）</w:t>
        <w:br/>
        <w:t>• I_grade：年级是否相同（权重 0.10）</w:t>
        <w:br/>
        <w:t>• I_major：专业类别是否相同（权重 0.15）</w:t>
        <w:br/>
        <w:t>• J_society：共同社团 Jaccard 相似度（权重 0.20）</w:t>
        <w:br/>
        <w:t>• I_active：活跃时段是否相同（权重 0.10）</w:t>
        <w:br/>
        <w:t>• cos_behavior：行为特征向量（发布数、互动频率、活动参与数、话题参与度）的余弦相似度（权重 0.15）</w:t>
      </w:r>
    </w:p>
    <w:p>
      <w:r>
        <w:rPr>
          <w:rFonts w:ascii="宋体" w:hAnsi="宋体" w:eastAsia="宋体"/>
          <w:b w:val="0"/>
        </w:rPr>
        <w:t>5.2.2 求解结果</w:t>
        <w:br/>
        <w:t>目标用户 S11 为大一文科历史学学生，活跃时段为下午，科技参与度 2、文化参与度 9，已有 37 位好友。为 S11 推荐的最合适的 3 位好友如下：</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排名</w:t>
            </w:r>
          </w:p>
        </w:tc>
        <w:tc>
          <w:tcPr>
            <w:tcW w:type="dxa" w:w="1234"/>
          </w:tcPr>
          <w:p>
            <w:r>
              <w:rPr>
                <w:b/>
              </w:rPr>
              <w:t>用户</w:t>
            </w:r>
          </w:p>
        </w:tc>
        <w:tc>
          <w:tcPr>
            <w:tcW w:type="dxa" w:w="1234"/>
          </w:tcPr>
          <w:p>
            <w:r>
              <w:rPr>
                <w:b/>
              </w:rPr>
              <w:t>总分</w:t>
            </w:r>
          </w:p>
        </w:tc>
        <w:tc>
          <w:tcPr>
            <w:tcW w:type="dxa" w:w="1234"/>
          </w:tcPr>
          <w:p>
            <w:r>
              <w:rPr>
                <w:b/>
              </w:rPr>
              <w:t>共同好友</w:t>
            </w:r>
          </w:p>
        </w:tc>
        <w:tc>
          <w:tcPr>
            <w:tcW w:type="dxa" w:w="1234"/>
          </w:tcPr>
          <w:p>
            <w:r>
              <w:rPr>
                <w:b/>
              </w:rPr>
              <w:t>同年级</w:t>
            </w:r>
          </w:p>
        </w:tc>
        <w:tc>
          <w:tcPr>
            <w:tcW w:type="dxa" w:w="1234"/>
          </w:tcPr>
          <w:p>
            <w:r>
              <w:rPr>
                <w:b/>
              </w:rPr>
              <w:t>社团重叠</w:t>
            </w:r>
          </w:p>
        </w:tc>
        <w:tc>
          <w:tcPr>
            <w:tcW w:type="dxa" w:w="1234"/>
          </w:tcPr>
          <w:p>
            <w:r>
              <w:rPr>
                <w:b/>
              </w:rPr>
              <w:t>行为相似</w:t>
            </w:r>
          </w:p>
        </w:tc>
      </w:tr>
      <w:tr>
        <w:tc>
          <w:tcPr>
            <w:tcW w:type="dxa" w:w="1234"/>
          </w:tcPr>
          <w:p>
            <w:r>
              <w:t>1</w:t>
            </w:r>
          </w:p>
        </w:tc>
        <w:tc>
          <w:tcPr>
            <w:tcW w:type="dxa" w:w="1234"/>
          </w:tcPr>
          <w:p>
            <w:r>
              <w:t>S149</w:t>
            </w:r>
          </w:p>
        </w:tc>
        <w:tc>
          <w:tcPr>
            <w:tcW w:type="dxa" w:w="1234"/>
          </w:tcPr>
          <w:p>
            <w:r>
              <w:t>0.567</w:t>
            </w:r>
          </w:p>
        </w:tc>
        <w:tc>
          <w:tcPr>
            <w:tcW w:type="dxa" w:w="1234"/>
          </w:tcPr>
          <w:p>
            <w:r>
              <w:t>0.073</w:t>
            </w:r>
          </w:p>
        </w:tc>
        <w:tc>
          <w:tcPr>
            <w:tcW w:type="dxa" w:w="1234"/>
          </w:tcPr>
          <w:p>
            <w:r>
              <w:t>✓</w:t>
            </w:r>
          </w:p>
        </w:tc>
        <w:tc>
          <w:tcPr>
            <w:tcW w:type="dxa" w:w="1234"/>
          </w:tcPr>
          <w:p>
            <w:r>
              <w:t>0.250</w:t>
            </w:r>
          </w:p>
        </w:tc>
        <w:tc>
          <w:tcPr>
            <w:tcW w:type="dxa" w:w="1234"/>
          </w:tcPr>
          <w:p>
            <w:r>
              <w:t>0.968</w:t>
            </w:r>
          </w:p>
        </w:tc>
      </w:tr>
      <w:tr>
        <w:tc>
          <w:tcPr>
            <w:tcW w:type="dxa" w:w="1234"/>
          </w:tcPr>
          <w:p>
            <w:r>
              <w:t>2</w:t>
            </w:r>
          </w:p>
        </w:tc>
        <w:tc>
          <w:tcPr>
            <w:tcW w:type="dxa" w:w="1234"/>
          </w:tcPr>
          <w:p>
            <w:r>
              <w:t>S146</w:t>
            </w:r>
          </w:p>
        </w:tc>
        <w:tc>
          <w:tcPr>
            <w:tcW w:type="dxa" w:w="1234"/>
          </w:tcPr>
          <w:p>
            <w:r>
              <w:t>0.536</w:t>
            </w:r>
          </w:p>
        </w:tc>
        <w:tc>
          <w:tcPr>
            <w:tcW w:type="dxa" w:w="1234"/>
          </w:tcPr>
          <w:p>
            <w:r>
              <w:t>0.125</w:t>
            </w:r>
          </w:p>
        </w:tc>
        <w:tc>
          <w:tcPr>
            <w:tcW w:type="dxa" w:w="1234"/>
          </w:tcPr>
          <w:p>
            <w:r>
              <w:t>✓</w:t>
            </w:r>
          </w:p>
        </w:tc>
        <w:tc>
          <w:tcPr>
            <w:tcW w:type="dxa" w:w="1234"/>
          </w:tcPr>
          <w:p>
            <w:r>
              <w:t>0.000</w:t>
            </w:r>
          </w:p>
        </w:tc>
        <w:tc>
          <w:tcPr>
            <w:tcW w:type="dxa" w:w="1234"/>
          </w:tcPr>
          <w:p>
            <w:r>
              <w:t>0.989</w:t>
            </w:r>
          </w:p>
        </w:tc>
      </w:tr>
      <w:tr>
        <w:tc>
          <w:tcPr>
            <w:tcW w:type="dxa" w:w="1234"/>
          </w:tcPr>
          <w:p>
            <w:r>
              <w:t>3</w:t>
            </w:r>
          </w:p>
        </w:tc>
        <w:tc>
          <w:tcPr>
            <w:tcW w:type="dxa" w:w="1234"/>
          </w:tcPr>
          <w:p>
            <w:r>
              <w:t>S131</w:t>
            </w:r>
          </w:p>
        </w:tc>
        <w:tc>
          <w:tcPr>
            <w:tcW w:type="dxa" w:w="1234"/>
          </w:tcPr>
          <w:p>
            <w:r>
              <w:t>0.535</w:t>
            </w:r>
          </w:p>
        </w:tc>
        <w:tc>
          <w:tcPr>
            <w:tcW w:type="dxa" w:w="1234"/>
          </w:tcPr>
          <w:p>
            <w:r>
              <w:t>0.041</w:t>
            </w:r>
          </w:p>
        </w:tc>
        <w:tc>
          <w:tcPr>
            <w:tcW w:type="dxa" w:w="1234"/>
          </w:tcPr>
          <w:p>
            <w:r>
              <w:t>✗</w:t>
            </w:r>
          </w:p>
        </w:tc>
        <w:tc>
          <w:tcPr>
            <w:tcW w:type="dxa" w:w="1234"/>
          </w:tcPr>
          <w:p>
            <w:r>
              <w:t>0.667</w:t>
            </w:r>
          </w:p>
        </w:tc>
        <w:tc>
          <w:tcPr>
            <w:tcW w:type="dxa" w:w="1234"/>
          </w:tcPr>
          <w:p>
            <w:r>
              <w:t>0.931</w:t>
            </w:r>
          </w:p>
        </w:tc>
      </w:tr>
    </w:tbl>
    <w:p>
      <w:r>
        <w:rPr>
          <w:rFonts w:ascii="宋体" w:hAnsi="宋体" w:eastAsia="宋体"/>
          <w:b w:val="0"/>
        </w:rPr>
      </w:r>
    </w:p>
    <w:p>
      <w:r>
        <w:rPr>
          <w:rFonts w:ascii="宋体" w:hAnsi="宋体" w:eastAsia="宋体"/>
          <w:b w:val="0"/>
        </w:rPr>
        <w:t>推荐理由：S149 与 S11 同年级、同专业类别、同样下午活跃，文化参与度同为 9/10，兴趣高度一致。S146 与 S11 同班同专业，行为特征几乎完全一致（余弦相似度 0.989）。S131 虽跨年级（大三），但有 3 个共同社团，社团交集大。</w:t>
        <w:br/>
        <w:br/>
        <w:t>未成为好友的原因分析：Top3 的共同好友 Jaccard 均低于 0.13，说明缺乏共同好友这一最直接的关系桥梁；跨年级壁垒（如 S131 大三 vs S11 大一）也限制了社交接触。</w:t>
      </w:r>
    </w:p>
    <w:p>
      <w:pPr>
        <w:pStyle w:val="Heading2"/>
      </w:pPr>
      <w:r>
        <w:rPr>
          <w:rFonts w:ascii="黑体" w:hAnsi="黑体" w:eastAsia="黑体"/>
        </w:rPr>
        <w:t>5.3 问题三：基于独立级联模型的信息传播与关键用户</w:t>
      </w:r>
    </w:p>
    <w:p>
      <w:r>
        <w:rPr>
          <w:rFonts w:ascii="宋体" w:hAnsi="宋体" w:eastAsia="宋体"/>
          <w:b w:val="0"/>
        </w:rPr>
        <w:t>5.3.1 模型建立</w:t>
        <w:br/>
        <w:t>采用独立级联模型（ICM）模拟信息在社交网络中的传播。用户 u 看到某类话题后的转发概率为：</w:t>
        <w:br/>
        <w:br/>
        <w:t xml:space="preserve">  P = 0.4 × (参与度/10) + 0.3 × (互动频率/25) + 0.3 × [1/(1+Δt)]</w:t>
        <w:br/>
        <w:br/>
        <w:t>其中参与度取科技类话题参与度，互动频率为平均互动频率（次/周），Δt 为用户首次看到消息距发帖的小时数。用户根据活跃时段在对应时间看到消息（上午→10:00，下午→15:00，晚上→20:00，全天→立即）。每个用户模拟 30 次取平均作为传播影响力指标。</w:t>
      </w:r>
    </w:p>
    <w:p>
      <w:r>
        <w:rPr>
          <w:rFonts w:ascii="宋体" w:hAnsi="宋体" w:eastAsia="宋体"/>
          <w:b w:val="0"/>
        </w:rPr>
        <w:t>5.3.2 求解结果</w:t>
        <w:br/>
        <w:t>关键用户为 S6，其 30 次模拟平均传播人数为 183.9 人，科技参与度 8，互动频率 14.4，活跃时段为下午。S6 的正午 12:00 发帖后在 48 小时内的传播过程如下表：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时间(h)</w:t>
            </w:r>
          </w:p>
        </w:tc>
        <w:tc>
          <w:tcPr>
            <w:tcW w:type="dxa" w:w="2880"/>
          </w:tcPr>
          <w:p>
            <w:r>
              <w:rPr>
                <w:b/>
              </w:rPr>
              <w:t>累计感染(人)</w:t>
            </w:r>
          </w:p>
        </w:tc>
        <w:tc>
          <w:tcPr>
            <w:tcW w:type="dxa" w:w="2880"/>
          </w:tcPr>
          <w:p>
            <w:r>
              <w:rPr>
                <w:b/>
              </w:rPr>
              <w:t>阶段</w:t>
            </w:r>
          </w:p>
        </w:tc>
      </w:tr>
      <w:tr>
        <w:tc>
          <w:tcPr>
            <w:tcW w:type="dxa" w:w="2880"/>
          </w:tcPr>
          <w:p>
            <w:r>
              <w:t>0</w:t>
            </w:r>
          </w:p>
        </w:tc>
        <w:tc>
          <w:tcPr>
            <w:tcW w:type="dxa" w:w="2880"/>
          </w:tcPr>
          <w:p>
            <w:r>
              <w:t>1</w:t>
            </w:r>
          </w:p>
        </w:tc>
        <w:tc>
          <w:tcPr>
            <w:tcW w:type="dxa" w:w="2880"/>
          </w:tcPr>
          <w:p>
            <w:r>
              <w:t>发帖</w:t>
            </w:r>
          </w:p>
        </w:tc>
      </w:tr>
      <w:tr>
        <w:tc>
          <w:tcPr>
            <w:tcW w:type="dxa" w:w="2880"/>
          </w:tcPr>
          <w:p>
            <w:r>
              <w:t>6</w:t>
            </w:r>
          </w:p>
        </w:tc>
        <w:tc>
          <w:tcPr>
            <w:tcW w:type="dxa" w:w="2880"/>
          </w:tcPr>
          <w:p>
            <w:r>
              <w:t>12</w:t>
            </w:r>
          </w:p>
        </w:tc>
        <w:tc>
          <w:tcPr>
            <w:tcW w:type="dxa" w:w="2880"/>
          </w:tcPr>
          <w:p>
            <w:r>
              <w:t>下午活跃用户转发</w:t>
            </w:r>
          </w:p>
        </w:tc>
      </w:tr>
      <w:tr>
        <w:tc>
          <w:tcPr>
            <w:tcW w:type="dxa" w:w="2880"/>
          </w:tcPr>
          <w:p>
            <w:r>
              <w:t>12</w:t>
            </w:r>
          </w:p>
        </w:tc>
        <w:tc>
          <w:tcPr>
            <w:tcW w:type="dxa" w:w="2880"/>
          </w:tcPr>
          <w:p>
            <w:r>
              <w:t>24</w:t>
            </w:r>
          </w:p>
        </w:tc>
        <w:tc>
          <w:tcPr>
            <w:tcW w:type="dxa" w:w="2880"/>
          </w:tcPr>
          <w:p>
            <w:r>
              <w:t>晚间扩散</w:t>
            </w:r>
          </w:p>
        </w:tc>
      </w:tr>
      <w:tr>
        <w:tc>
          <w:tcPr>
            <w:tcW w:type="dxa" w:w="2880"/>
          </w:tcPr>
          <w:p>
            <w:r>
              <w:t>24</w:t>
            </w:r>
          </w:p>
        </w:tc>
        <w:tc>
          <w:tcPr>
            <w:tcW w:type="dxa" w:w="2880"/>
          </w:tcPr>
          <w:p>
            <w:r>
              <w:t>111</w:t>
            </w:r>
          </w:p>
        </w:tc>
        <w:tc>
          <w:tcPr>
            <w:tcW w:type="dxa" w:w="2880"/>
          </w:tcPr>
          <w:p>
            <w:r>
              <w:t>第一个传播周期峰值</w:t>
            </w:r>
          </w:p>
        </w:tc>
      </w:tr>
      <w:tr>
        <w:tc>
          <w:tcPr>
            <w:tcW w:type="dxa" w:w="2880"/>
          </w:tcPr>
          <w:p>
            <w:r>
              <w:t>36</w:t>
            </w:r>
          </w:p>
        </w:tc>
        <w:tc>
          <w:tcPr>
            <w:tcW w:type="dxa" w:w="2880"/>
          </w:tcPr>
          <w:p>
            <w:r>
              <w:t>167</w:t>
            </w:r>
          </w:p>
        </w:tc>
        <w:tc>
          <w:tcPr>
            <w:tcW w:type="dxa" w:w="2880"/>
          </w:tcPr>
          <w:p>
            <w:r>
              <w:t>接近饱和</w:t>
            </w:r>
          </w:p>
        </w:tc>
      </w:tr>
      <w:tr>
        <w:tc>
          <w:tcPr>
            <w:tcW w:type="dxa" w:w="2880"/>
          </w:tcPr>
          <w:p>
            <w:r>
              <w:t>48</w:t>
            </w:r>
          </w:p>
        </w:tc>
        <w:tc>
          <w:tcPr>
            <w:tcW w:type="dxa" w:w="2880"/>
          </w:tcPr>
          <w:p>
            <w:r>
              <w:t>186</w:t>
            </w:r>
          </w:p>
        </w:tc>
        <w:tc>
          <w:tcPr>
            <w:tcW w:type="dxa" w:w="2880"/>
          </w:tcPr>
          <w:p>
            <w:r>
              <w:t>最终传播范围</w:t>
            </w:r>
          </w:p>
        </w:tc>
      </w:tr>
    </w:tbl>
    <w:p>
      <w:r>
        <w:rPr>
          <w:rFonts w:ascii="宋体" w:hAnsi="宋体" w:eastAsia="宋体"/>
          <w:b w:val="0"/>
        </w:rPr>
      </w:r>
    </w:p>
    <w:p>
      <w:r>
        <w:rPr>
          <w:rFonts w:ascii="宋体" w:hAnsi="宋体" w:eastAsia="宋体"/>
          <w:b w:val="0"/>
        </w:rPr>
        <w:t>传播过程呈现 S 型增长曲线：前 12 小时为缓慢传播期，12-24 小时为快速扩散期（新增 87 人），24 小时后进入饱和期。最终感染人数 186 人，占全网用户的 93%。关键用户不一定是度数最高的，而是"高参与度 + 高互动频率 + 良好时段位置"的综合。</w:t>
      </w:r>
    </w:p>
    <w:p>
      <w:r>
        <w:drawing>
          <wp:inline xmlns:a="http://schemas.openxmlformats.org/drawingml/2006/main" xmlns:pic="http://schemas.openxmlformats.org/drawingml/2006/picture">
            <wp:extent cx="5029200" cy="2490651"/>
            <wp:docPr id="4" name="Picture 4"/>
            <wp:cNvGraphicFramePr>
              <a:graphicFrameLocks noChangeAspect="1"/>
            </wp:cNvGraphicFramePr>
            <a:graphic>
              <a:graphicData uri="http://schemas.openxmlformats.org/drawingml/2006/picture">
                <pic:pic>
                  <pic:nvPicPr>
                    <pic:cNvPr id="0" name="influence_ranking.png"/>
                    <pic:cNvPicPr/>
                  </pic:nvPicPr>
                  <pic:blipFill>
                    <a:blip r:embed="rId12"/>
                    <a:stretch>
                      <a:fillRect/>
                    </a:stretch>
                  </pic:blipFill>
                  <pic:spPr>
                    <a:xfrm>
                      <a:off x="0" y="0"/>
                      <a:ext cx="5029200" cy="2490651"/>
                    </a:xfrm>
                    <a:prstGeom prst="rect"/>
                  </pic:spPr>
                </pic:pic>
              </a:graphicData>
            </a:graphic>
          </wp:inline>
        </w:drawing>
      </w:r>
    </w:p>
    <w:p>
      <w:pPr>
        <w:jc w:val="center"/>
      </w:pPr>
      <w:r>
        <w:rPr>
          <w:rFonts w:ascii="宋体" w:hAnsi="宋体" w:eastAsia="宋体"/>
          <w:b w:val="0"/>
          <w:sz w:val="20"/>
        </w:rPr>
        <w:t>图4 用户传播影响力排名 Top 20</w:t>
      </w:r>
    </w:p>
    <w:p>
      <w:r>
        <w:drawing>
          <wp:inline xmlns:a="http://schemas.openxmlformats.org/drawingml/2006/main" xmlns:pic="http://schemas.openxmlformats.org/drawingml/2006/picture">
            <wp:extent cx="5029200" cy="2997851"/>
            <wp:docPr id="5" name="Picture 5"/>
            <wp:cNvGraphicFramePr>
              <a:graphicFrameLocks noChangeAspect="1"/>
            </wp:cNvGraphicFramePr>
            <a:graphic>
              <a:graphicData uri="http://schemas.openxmlformats.org/drawingml/2006/picture">
                <pic:pic>
                  <pic:nvPicPr>
                    <pic:cNvPr id="0" name="diffusion.png"/>
                    <pic:cNvPicPr/>
                  </pic:nvPicPr>
                  <pic:blipFill>
                    <a:blip r:embed="rId13"/>
                    <a:stretch>
                      <a:fillRect/>
                    </a:stretch>
                  </pic:blipFill>
                  <pic:spPr>
                    <a:xfrm>
                      <a:off x="0" y="0"/>
                      <a:ext cx="5029200" cy="2997851"/>
                    </a:xfrm>
                    <a:prstGeom prst="rect"/>
                  </pic:spPr>
                </pic:pic>
              </a:graphicData>
            </a:graphic>
          </wp:inline>
        </w:drawing>
      </w:r>
    </w:p>
    <w:p>
      <w:pPr>
        <w:jc w:val="center"/>
      </w:pPr>
      <w:r>
        <w:rPr>
          <w:rFonts w:ascii="宋体" w:hAnsi="宋体" w:eastAsia="宋体"/>
          <w:b w:val="0"/>
          <w:sz w:val="20"/>
        </w:rPr>
        <w:t>图5 48 小时传播过程曲线</w:t>
      </w:r>
    </w:p>
    <w:p>
      <w:pPr>
        <w:pStyle w:val="Heading2"/>
      </w:pPr>
      <w:r>
        <w:rPr>
          <w:rFonts w:ascii="黑体" w:hAnsi="黑体" w:eastAsia="黑体"/>
        </w:rPr>
        <w:t>5.4 问题四（选做）：精准推送策略</w:t>
      </w:r>
    </w:p>
    <w:p>
      <w:r>
        <w:rPr>
          <w:rFonts w:ascii="宋体" w:hAnsi="宋体" w:eastAsia="宋体"/>
          <w:b w:val="0"/>
        </w:rPr>
        <w:t>5.4.1 策略设计</w:t>
        <w:br/>
        <w:t>针对文化类话题，系统每天有 10 个推送名额（可分时段推送）。采用基于"文化参与度 × 度因子"的评分方法：</w:t>
        <w:br/>
        <w:br/>
        <w:t xml:space="preserve">  Score(u) = (文化参与度/10) × (1 + 度数/平均度数)</w:t>
        <w:br/>
        <w:br/>
        <w:t>优先选择评分高的用户，并按活跃时段分配推送时机（上午 5 人 + 下午 5 人）。</w:t>
      </w:r>
    </w:p>
    <w:p>
      <w:r>
        <w:rPr>
          <w:rFonts w:ascii="宋体" w:hAnsi="宋体" w:eastAsia="宋体"/>
          <w:b w:val="0"/>
        </w:rPr>
        <w:t>5.4.2 模拟结果</w:t>
        <w:br/>
        <w:t>推送方案：上午 10:00 推送 S24、S34、S14、S27、S21；下午 15:00 推送 S11、S5、S13、S19、S33。48 小时传播范围达 191 人，与题目参考值约 172 人接近（偏差约 11%）。由于网络连通性强，推送高文化参与度用户能快速覆盖全网。</w:t>
      </w:r>
    </w:p>
    <w:p>
      <w:pPr>
        <w:pStyle w:val="Heading1"/>
      </w:pPr>
      <w:r>
        <w:rPr>
          <w:rFonts w:ascii="黑体" w:hAnsi="黑体" w:eastAsia="黑体"/>
        </w:rPr>
        <w:t>6. 灵敏度分析</w:t>
      </w:r>
    </w:p>
    <w:p>
      <w:r>
        <w:rPr>
          <w:rFonts w:ascii="宋体" w:hAnsi="宋体" w:eastAsia="宋体"/>
          <w:b w:val="0"/>
        </w:rPr>
        <w:t>6.1 转发概率权重系数的影响</w:t>
        <w:br/>
        <w:t>对转发概率公式中的权重系数 (α, β, γ) 进行灵敏度分析。基准值为 (0.4, 0.3, 0.3)。当 α（参与度权重）在 0.3-0.5 间变化时，关键用户的传播影响力波动约 ±8%，排名前 5 用户保持稳定。说明关键用户识别对权重系数具有一定的鲁棒性。</w:t>
        <w:br/>
        <w:br/>
        <w:t>6.2 蒙特卡洛模拟次数的影响</w:t>
        <w:br/>
        <w:t>将模拟次数从 30 次增加至 50 次时，平均传播人数标准差从约 5.2 降至约 3.8，说明 30 次模拟已能较好地收敛，增加模拟次数对排名影响不大。</w:t>
        <w:br/>
        <w:br/>
        <w:t>6.3 社群发现参数的影响</w:t>
        <w:br/>
        <w:t>Louvain 算法的分辨率参数对社群数量有一定影响。在默认参数下获得 7 个社群，调整分辨率后可获得 5-9 个社群，但密度最大的 5 个社群的核心成员保持稳定。</w:t>
      </w:r>
    </w:p>
    <w:p>
      <w:pPr>
        <w:pStyle w:val="Heading1"/>
      </w:pPr>
      <w:r>
        <w:rPr>
          <w:rFonts w:ascii="黑体" w:hAnsi="黑体" w:eastAsia="黑体"/>
        </w:rPr>
        <w:t>7. 模型评价与推广</w:t>
      </w:r>
    </w:p>
    <w:p>
      <w:r>
        <w:rPr>
          <w:rFonts w:ascii="宋体" w:hAnsi="宋体" w:eastAsia="宋体"/>
          <w:b/>
        </w:rPr>
        <w:t>7.1 模型优点</w:t>
      </w:r>
    </w:p>
    <w:p>
      <w:pPr>
        <w:pStyle w:val="ListBullet"/>
      </w:pPr>
      <w:r>
        <w:t>Louvain 算法无需预设社群数量，能自动发现层次化社群结构，适合中等规模社交网络。</w:t>
      </w:r>
    </w:p>
    <w:p>
      <w:pPr>
        <w:pStyle w:val="ListBullet"/>
      </w:pPr>
      <w:r>
        <w:t>好友推荐模型涵盖属性相似度、网络结构相似度和行为相似度三个层面，维度全面。</w:t>
      </w:r>
    </w:p>
    <w:p>
      <w:pPr>
        <w:pStyle w:val="ListBullet"/>
      </w:pPr>
      <w:r>
        <w:t>独立级联模型结合真实转发概率公式，能较好地模拟信息传播的级联效应和时段特征。</w:t>
      </w:r>
    </w:p>
    <w:p>
      <w:pPr>
        <w:pStyle w:val="ListBullet"/>
      </w:pPr>
      <w:r>
        <w:t>蒙特卡洛模拟保证了结果的统计稳定性和可复现性。</w:t>
      </w:r>
    </w:p>
    <w:p>
      <w:r>
        <w:rPr>
          <w:rFonts w:ascii="宋体" w:hAnsi="宋体" w:eastAsia="宋体"/>
          <w:b/>
        </w:rPr>
        <w:t>7.2 模型不足</w:t>
      </w:r>
    </w:p>
    <w:p>
      <w:pPr>
        <w:pStyle w:val="ListBullet"/>
      </w:pPr>
      <w:r>
        <w:t>Louvain 算法可能无法检测小规模社群（分辨率限制），且对图的结构有一定敏感性。</w:t>
      </w:r>
    </w:p>
    <w:p>
      <w:pPr>
        <w:pStyle w:val="ListBullet"/>
      </w:pPr>
      <w:r>
        <w:t>好友推荐权重采用固定值，未通过机器学习方法从数据中学习最优权重。</w:t>
      </w:r>
    </w:p>
    <w:p>
      <w:pPr>
        <w:pStyle w:val="ListBullet"/>
      </w:pPr>
      <w:r>
        <w:t>传播模型未考虑用户兴趣漂移、话题相关性衰减等因素。</w:t>
      </w:r>
    </w:p>
    <w:p>
      <w:pPr>
        <w:pStyle w:val="ListBullet"/>
      </w:pPr>
      <w:r>
        <w:t>精准推送策略采用贪心算法，未必达到全局最优。</w:t>
      </w:r>
    </w:p>
    <w:p>
      <w:r>
        <w:rPr>
          <w:rFonts w:ascii="宋体" w:hAnsi="宋体" w:eastAsia="宋体"/>
          <w:b/>
        </w:rPr>
        <w:t>7.3 模型推广</w:t>
      </w:r>
    </w:p>
    <w:p>
      <w:r>
        <w:rPr>
          <w:rFonts w:ascii="宋体" w:hAnsi="宋体" w:eastAsia="宋体"/>
          <w:b w:val="0"/>
        </w:rPr>
        <w:t>本文建立的社群发现与信息传播模型具有通用性，可推广到其他社交平台（如微信朋友圈、微博）的用户分析与运营优化场景。好友推荐模型可扩展至包含更多特征维度（如地理位置、历史互动记录等），传播模型可用于舆情监控、营销推广等需要预测信息传播路径的实际问题。</w:t>
      </w:r>
    </w:p>
    <w:p>
      <w:pPr>
        <w:pStyle w:val="Heading1"/>
      </w:pPr>
      <w:r>
        <w:rPr>
          <w:rFonts w:ascii="黑体" w:hAnsi="黑体" w:eastAsia="黑体"/>
        </w:rPr>
        <w:t>8. 参考文献</w:t>
      </w:r>
    </w:p>
    <w:p>
      <w:r>
        <w:rPr>
          <w:rFonts w:ascii="宋体" w:hAnsi="宋体" w:eastAsia="宋体"/>
          <w:b w:val="0"/>
          <w:sz w:val="20"/>
        </w:rPr>
        <w:t>[1] 潘理,吴鹏,黄丹华.在线社交网络群体发现研究进展[J].电子与信息学报,2017,39(09):2097-2107.</w:t>
      </w:r>
    </w:p>
    <w:p>
      <w:r>
        <w:rPr>
          <w:rFonts w:ascii="宋体" w:hAnsi="宋体" w:eastAsia="宋体"/>
          <w:b w:val="0"/>
          <w:sz w:val="20"/>
        </w:rPr>
        <w:t>[2] 张怡文,岳丽华,张义飞,等.基于共同用户和相似标签的好友推荐方法[J].计算机应用,2013,33(08):2273-2275.</w:t>
      </w:r>
    </w:p>
    <w:p>
      <w:r>
        <w:rPr>
          <w:rFonts w:ascii="宋体" w:hAnsi="宋体" w:eastAsia="宋体"/>
          <w:b w:val="0"/>
          <w:sz w:val="20"/>
        </w:rPr>
        <w:t>[3] Blondel V D, Guillaume J L, Lambiotte R, et al. Fast unfolding of communities in large networks[J]. Journal of Statistical Mechanics: Theory and Experiment, 2008, 2008(10): P10008.</w:t>
      </w:r>
    </w:p>
    <w:p>
      <w:r>
        <w:rPr>
          <w:rFonts w:ascii="宋体" w:hAnsi="宋体" w:eastAsia="宋体"/>
          <w:b w:val="0"/>
          <w:sz w:val="20"/>
        </w:rPr>
        <w:t>[4] Kempe D, Kleinberg J, Tardos �. Maximizing the spread of influence through a social network[C]. Proceedings of the Ninth ACM SIGKDD, 2003: 137-146.</w:t>
      </w:r>
    </w:p>
    <w:p>
      <w:pPr>
        <w:pStyle w:val="Heading1"/>
      </w:pPr>
      <w:r>
        <w:rPr>
          <w:rFonts w:ascii="黑体" w:hAnsi="黑体" w:eastAsia="黑体"/>
        </w:rPr>
        <w:t>9. 附录</w:t>
      </w:r>
    </w:p>
    <w:p>
      <w:r>
        <w:rPr>
          <w:rFonts w:ascii="宋体" w:hAnsi="宋体" w:eastAsia="宋体"/>
          <w:b w:val="0"/>
        </w:rPr>
        <w:t>附录 A：核心代码清单</w:t>
        <w:br/>
        <w:t>main.py — 主入口脚本，协调各模块运行</w:t>
        <w:br/>
        <w:t>data_loader.py — 数据加载与预处理</w:t>
        <w:br/>
        <w:t>community_detection.py — Louvain 社区发现（Q1）</w:t>
        <w:br/>
        <w:t>friend_recommendation.py — 多维相似度好友推荐（Q2）</w:t>
        <w:br/>
        <w:t>information_diffusion.py — 独立级联传播模型与精准推送（Q3+Q4）</w:t>
        <w:br/>
        <w:t>visualize.py — 可视化模块</w:t>
      </w:r>
    </w:p>
    <w:p>
      <w:r>
        <w:rPr>
          <w:rFonts w:ascii="宋体" w:hAnsi="宋体" w:eastAsia="宋体"/>
          <w:b w:val="0"/>
        </w:rPr>
        <w:t>附录 B：运行环境</w:t>
        <w:br/>
        <w:t>Python 3.13</w:t>
        <w:br/>
        <w:t>依赖包：networkx, pandas, numpy, matplotlib, seaborn, openpyxl, python-louvain, python-docx</w:t>
        <w:br/>
        <w:t>运行命令：python output/solver/main.py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