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正向化后数据_副本(1).xlsx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偏最小二乘法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变量Y:{1 try，2 tries，3 tries，4 tries，5 tries，6 tries，7 or more tries (X)}；变量X:{单词是否具有专业性，单词频率，外来词，单词形式，字母重复次数，Orth}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是否自动确定最大主成分数量:{5}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偏最小二乘法是用于解决多个因变量的回归，请看详细结论进行分析。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通过方差解释情况和VIP（累积投影重要性）参考最大主成分数量。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通过成分矩阵表得到主成分的组成情况。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通过因子载荷系数表得到变量的重要性。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最终得到偏最小二乘回归(PLSR)的标准化公式。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输出结果1：因子方差解释情况表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潜在因子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累计的X方差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Y方差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累计的Y方差(R²)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调整后的R²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上表展示潜在因子的信息综合解释能力。其中，累计的X方差代表对自变量信息的提取，累计的Y²(R²)代表对因变量信息的提取，可以以此为依据确定参数最大主成分数量。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因子对方差解释情况表的结果显示，前4个潜在因子就可解释自变量80%的信息，全部潜在因子也不能解释因变量80%的信息。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输出结果2：自变量VIP（累积投影重要性）汇总表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单词是否具有专业性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单词频率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外来词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单词形式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字母重复次数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Orth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VIP（累积投影重要性）的情况，它表示成分个数不同时，X对于Y的解释重要性力度，也可以用于参考最大主成分数量。其中对于VIP很大（大于1）的自变量，它在解释潜在因子（从而在解释因变量）时作用相对更大一些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输出结果3：自变量VIP（累积投影重要性）图</w:t>
      </w:r>
    </w:p>
    <w:p>
      <w:pPr>
        <w:spacing w:after="500"/>
        <w:jc w:val="center"/>
      </w:pPr>
      <w:r>
        <w:drawing>
          <wp:inline distT="0" distB="0" distL="0" distR="0">
            <wp:extent cx="4762500" cy="117090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上图将VIP（累积投影重要性）的情况可视化的展示出来。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输出结果4：成分矩阵表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单词是否具有专业性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单词频率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外来词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单词形式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字母重复次数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Orth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 try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-18.166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-1.589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-9.372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-14.629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16.007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-19.544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8.415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 or more tries (X)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6.649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8.088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由上表可得到主成分分析降维后的成分矩阵表。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输出结果5：因子载荷系数表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因子3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因子5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单词是否具有专业性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单词频率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外来词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单词形式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字母重复次数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Orth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 try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 or more tries (X)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上表为因子载荷系数表，可以分析到每个因子中隐变量的重要性。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输出结果6：模型系数结果表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 try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 tries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 tries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tries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 tries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tries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 or more tries (X)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 try(标准化)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 tries(标准化)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 tries(标准化)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 tries(标准化)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 tries(标准化)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tries(标准化)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 or more tries (X)(标准化)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32.034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19.088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单词是否具有专业性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单词频率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外来词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单词形式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字母重复次数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Orth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展示了本次PLS模型结果，主要包括模型的系数，用于分析自变量X对于因变量Y的影响关系情况。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模型的标准化公式为：</w:t>
      </w:r>
      <w:r>
        <w:rPr>
          <w:b w:val="false"/>
          <w:bCs w:val="false"/>
          <w:color w:val="000000"/>
          <w:sz w:val="18"/>
          <w:szCs w:val="18"/>
        </w:rPr>
        <w:br/>
        <w:t xml:space="preserve">1 try = -0.753+0.18 * 单词是否具有专业性+0.001 * 单词频率+0.038 * 外来词+0.268 * 单词形式+0.134 * 字母重复次数+0.054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2 tries = -0.308-1.133 * 单词是否具有专业性+0.008 * 单词频率+0.692 * 外来词+0.786 * 单词形式+1.307 * 字母重复次数+0.254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3 tries = 12.296-2.718 * 单词是否具有专业性+0.019 * 单词频率+1.433 * 外来词+0.395 * 单词形式+3.175 * 字母重复次数-0.184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4 tries = 32.279+0.262 * 单词是否具有专业性-0.001 * 单词频率+1.914 * 外来词-0.878 * 单词形式+0.568 * 字母重复次数-0.785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5 tries = 32.034+1.996 * 单词是否具有专业性-0.014 * 单词频率-0.395 * 外来词-0.379 * 单词形式-2.34 * 字母重复次数-0.296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6 tries = 19.088+1.345 * 单词是否具有专业性-0.01 * 单词频率-2.341 * 外来词-0.208 * 单词形式-2.05 * 字母重复次数+0.416 * Orth</w:t>
      </w:r>
      <w:r>
        <w:rPr>
          <w:b w:val="false"/>
          <w:bCs w:val="false"/>
          <w:color w:val="000000"/>
          <w:sz w:val="18"/>
          <w:szCs w:val="18"/>
        </w:rPr>
        <w:br/>
        <w:t xml:space="preserve">7 or more tries (X) = 5.139-0.058 * 单词是否具有专业性-0.003 * 单词频率-1.151 * 外来词+0.039 * 单词形式-0.754 * 字母重复次数+0.529 * Orth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梁北辰,戴景民. 偏最小二乘法在系统故障诊断中的应用[J]. 哈尔滨工业大学学报,2020,52(3):156-164. DOI:10.11918/201805149.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qkkaany4gz9k0d9laliu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2023-02-18T08:39:09.594Z</dcterms:created>
  <dcterms:modified xsi:type="dcterms:W3CDTF">2023-02-18T08:39:09.594Z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