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如图6-1为联合概率三维图和联合概率等值线图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联合概率三维图立体直观的展现了降水指标和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指标的联合概率分布和联合概率值，观察图像，可以看到，随着降水指标和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指标值的增大，联合概率值增大。再看联合概率等值线图，可以更清晰的看到不同指标值组合的概率值，降水指标与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指标值越大，联合概率值越大且降水指标的值一定时，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指标值越大，概率值越大，等值线在降水值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mm后概率值等值线密度由大变小，也说明在该点后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指标随着降水指标的变化速率由大变小；同样，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指标值一定时，联合概率随着降水指标值的增大而增大。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780"/>
            <wp:effectExtent l="0" t="0" r="10795" b="7620"/>
            <wp:docPr id="2" name="图片 2" descr="等值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等值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780"/>
            <wp:effectExtent l="0" t="0" r="10795" b="7620"/>
            <wp:docPr id="1" name="图片 1" descr="概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概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如图为条件概率分布图，是</w:t>
      </w:r>
      <w:r>
        <w:rPr>
          <w:rFonts w:hint="eastAsia"/>
          <w:lang w:val="en-US" w:eastAsia="zh-CN"/>
        </w:rPr>
        <w:t>降水指标</w:t>
      </w:r>
      <w:r>
        <w:rPr>
          <w:rFonts w:hint="eastAsia"/>
        </w:rPr>
        <w:t>分别大于等于4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mm，60mm，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mm和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00mm的条件下，</w:t>
      </w:r>
      <w:r>
        <w:rPr>
          <w:rFonts w:hint="eastAsia"/>
          <w:lang w:val="en-US" w:eastAsia="zh-CN"/>
        </w:rPr>
        <w:t>水位指标</w:t>
      </w:r>
      <w:r>
        <w:rPr>
          <w:rFonts w:hint="eastAsia"/>
        </w:rPr>
        <w:t>大于等于某一特定值时的概率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的特定值选取</w:t>
      </w:r>
      <w:r>
        <w:rPr>
          <w:rFonts w:hint="eastAsia"/>
          <w:lang w:val="en-US" w:eastAsia="zh-CN"/>
        </w:rPr>
        <w:t>74.2m，74.3m，</w:t>
      </w:r>
      <w:r>
        <w:rPr>
          <w:rFonts w:hint="eastAsia"/>
        </w:rPr>
        <w:t>…依次递增</w:t>
      </w:r>
      <w:r>
        <w:rPr>
          <w:rFonts w:hint="eastAsia"/>
          <w:lang w:val="en-US" w:eastAsia="zh-CN"/>
        </w:rPr>
        <w:t>0.1m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75.4m</w:t>
      </w:r>
      <w:r>
        <w:rPr>
          <w:rFonts w:hint="eastAsia"/>
        </w:rPr>
        <w:t>。由图可知，四条曲线均反映出降水指标值一定时，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指标大于等于某一特定值的条件概率随着</w:t>
      </w:r>
      <w:r>
        <w:rPr>
          <w:rFonts w:hint="eastAsia"/>
          <w:lang w:eastAsia="zh-CN"/>
        </w:rPr>
        <w:t>水位</w:t>
      </w:r>
      <w:r>
        <w:rPr>
          <w:rFonts w:hint="eastAsia"/>
        </w:rPr>
        <w:t>指标值的增大而减小，也就是发生的可能性越小；整体观察四条概率曲线，给定的降水指标值越大，条件概率整体越大，即</w:t>
      </w:r>
      <w:r>
        <w:rPr>
          <w:rFonts w:hint="eastAsia"/>
          <w:lang w:eastAsia="zh-CN"/>
        </w:rPr>
        <w:t>水位</w:t>
      </w:r>
      <w:r>
        <w:rPr>
          <w:rFonts w:hint="eastAsia"/>
        </w:rPr>
        <w:t>发生的概率越大，尤其是降水指标值大于等于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mm与大于等于60mm相比，曲线有明显的上移，增幅比较大，例如，</w:t>
      </w:r>
      <w:r>
        <w:rPr>
          <w:rFonts w:hint="eastAsia"/>
          <w:lang w:val="en-US" w:eastAsia="zh-CN"/>
        </w:rPr>
        <w:t>降水</w:t>
      </w:r>
      <w:r>
        <w:rPr>
          <w:rFonts w:hint="eastAsia"/>
        </w:rPr>
        <w:t>≥60mm时，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≥</w:t>
      </w:r>
      <w:r>
        <w:rPr>
          <w:rFonts w:hint="eastAsia"/>
          <w:lang w:val="en-US" w:eastAsia="zh-CN"/>
        </w:rPr>
        <w:t>74.4</w:t>
      </w:r>
      <w:r>
        <w:rPr>
          <w:rFonts w:hint="eastAsia"/>
        </w:rPr>
        <w:t>m的条件概率为0.</w:t>
      </w:r>
      <w:r>
        <w:rPr>
          <w:rFonts w:hint="eastAsia"/>
          <w:lang w:val="en-US" w:eastAsia="zh-CN"/>
        </w:rPr>
        <w:t>38</w:t>
      </w:r>
      <w:r>
        <w:rPr>
          <w:rFonts w:hint="eastAsia"/>
        </w:rPr>
        <w:t>，而</w:t>
      </w:r>
      <w:r>
        <w:rPr>
          <w:rFonts w:hint="eastAsia"/>
          <w:lang w:val="en-US" w:eastAsia="zh-CN"/>
        </w:rPr>
        <w:t>降水</w:t>
      </w:r>
      <w:r>
        <w:rPr>
          <w:rFonts w:hint="eastAsia"/>
        </w:rPr>
        <w:t>≥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mm时，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≥</w:t>
      </w:r>
      <w:r>
        <w:rPr>
          <w:rFonts w:hint="eastAsia"/>
          <w:lang w:val="en-US" w:eastAsia="zh-CN"/>
        </w:rPr>
        <w:t>74.4m</w:t>
      </w:r>
      <w:r>
        <w:rPr>
          <w:rFonts w:hint="eastAsia"/>
        </w:rPr>
        <w:t>的条件概率为0.</w:t>
      </w:r>
      <w:r>
        <w:rPr>
          <w:rFonts w:hint="eastAsia"/>
          <w:lang w:val="en-US" w:eastAsia="zh-CN"/>
        </w:rPr>
        <w:t>62</w:t>
      </w:r>
      <w:r>
        <w:rPr>
          <w:rFonts w:hint="eastAsia"/>
        </w:rPr>
        <w:t>，也就是说，</w:t>
      </w:r>
      <w:r>
        <w:rPr>
          <w:rFonts w:hint="eastAsia"/>
          <w:lang w:val="en-US" w:eastAsia="zh-CN"/>
        </w:rPr>
        <w:t>水位</w:t>
      </w:r>
      <w:r>
        <w:rPr>
          <w:rFonts w:hint="eastAsia"/>
        </w:rPr>
        <w:t>受</w:t>
      </w:r>
      <w:bookmarkStart w:id="0" w:name="_GoBack"/>
      <w:bookmarkEnd w:id="0"/>
      <w:r>
        <w:rPr>
          <w:rFonts w:hint="eastAsia"/>
        </w:rPr>
        <w:t>降水的影响程度和给定的降水指标条件值成正比，条件值越大，影响程度越大。</w:t>
      </w:r>
    </w:p>
    <w:p>
      <w:pPr>
        <w:rPr>
          <w:rFonts w:hint="eastAsia"/>
        </w:rPr>
      </w:pPr>
      <w:r>
        <w:drawing>
          <wp:inline distT="0" distB="0" distL="114300" distR="114300">
            <wp:extent cx="4638040" cy="2694305"/>
            <wp:effectExtent l="4445" t="4445" r="5715" b="635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3B870F9F"/>
    <w:rsid w:val="4A896757"/>
    <w:rsid w:val="6EA42F67"/>
    <w:rsid w:val="76701347"/>
    <w:rsid w:val="7B0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OneDrive%20-%20stu.xidian.edu.cn\&#25968;&#23398;&#24314;&#27169;\2024&#32654;&#36187;\2024D\question4\Copula&#32472;&#22270;\Fran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[Frank.xlsx]Sheet1!$B$2:$N$2</c:f>
              <c:numCache>
                <c:formatCode>General</c:formatCode>
                <c:ptCount val="13"/>
                <c:pt idx="0">
                  <c:v>0.95</c:v>
                </c:pt>
                <c:pt idx="1">
                  <c:v>0.68</c:v>
                </c:pt>
                <c:pt idx="2">
                  <c:v>0.45</c:v>
                </c:pt>
                <c:pt idx="3">
                  <c:v>0.29</c:v>
                </c:pt>
                <c:pt idx="4">
                  <c:v>0.25</c:v>
                </c:pt>
                <c:pt idx="5">
                  <c:v>0.2</c:v>
                </c:pt>
                <c:pt idx="6">
                  <c:v>0.17</c:v>
                </c:pt>
                <c:pt idx="7">
                  <c:v>0.15</c:v>
                </c:pt>
                <c:pt idx="8">
                  <c:v>0.11</c:v>
                </c:pt>
                <c:pt idx="9">
                  <c:v>0.09</c:v>
                </c:pt>
                <c:pt idx="10">
                  <c:v>0.06</c:v>
                </c:pt>
                <c:pt idx="11">
                  <c:v>0.04</c:v>
                </c:pt>
                <c:pt idx="12">
                  <c:v>0.03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[Frank.xlsx]Sheet1!$B$3:$N$3</c:f>
              <c:numCache>
                <c:formatCode>General</c:formatCode>
                <c:ptCount val="13"/>
                <c:pt idx="0">
                  <c:v>0.95</c:v>
                </c:pt>
                <c:pt idx="1">
                  <c:v>0.71</c:v>
                </c:pt>
                <c:pt idx="2">
                  <c:v>0.5</c:v>
                </c:pt>
                <c:pt idx="3">
                  <c:v>0.38</c:v>
                </c:pt>
                <c:pt idx="4">
                  <c:v>0.3</c:v>
                </c:pt>
                <c:pt idx="5">
                  <c:v>0.22</c:v>
                </c:pt>
                <c:pt idx="6">
                  <c:v>0.18</c:v>
                </c:pt>
                <c:pt idx="7">
                  <c:v>0.16</c:v>
                </c:pt>
                <c:pt idx="8">
                  <c:v>0.12</c:v>
                </c:pt>
                <c:pt idx="9">
                  <c:v>0.1</c:v>
                </c:pt>
                <c:pt idx="10">
                  <c:v>0.07</c:v>
                </c:pt>
                <c:pt idx="11">
                  <c:v>0.05</c:v>
                </c:pt>
                <c:pt idx="12">
                  <c:v>0.03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[Frank.xlsx]Sheet1!$B$4:$N$4</c:f>
              <c:numCache>
                <c:formatCode>General</c:formatCode>
                <c:ptCount val="13"/>
                <c:pt idx="0">
                  <c:v>0.98</c:v>
                </c:pt>
                <c:pt idx="1">
                  <c:v>0.9</c:v>
                </c:pt>
                <c:pt idx="2">
                  <c:v>0.78</c:v>
                </c:pt>
                <c:pt idx="3">
                  <c:v>0.62</c:v>
                </c:pt>
                <c:pt idx="4">
                  <c:v>0.48</c:v>
                </c:pt>
                <c:pt idx="5">
                  <c:v>0.4</c:v>
                </c:pt>
                <c:pt idx="6">
                  <c:v>0.3</c:v>
                </c:pt>
                <c:pt idx="7">
                  <c:v>0.22</c:v>
                </c:pt>
                <c:pt idx="8">
                  <c:v>0.2</c:v>
                </c:pt>
                <c:pt idx="9">
                  <c:v>0.17</c:v>
                </c:pt>
                <c:pt idx="10">
                  <c:v>0.15</c:v>
                </c:pt>
                <c:pt idx="11">
                  <c:v>0.13</c:v>
                </c:pt>
                <c:pt idx="12">
                  <c:v>0.1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[Frank.xlsx]Sheet1!$B$5:$N$5</c:f>
              <c:numCache>
                <c:formatCode>General</c:formatCode>
                <c:ptCount val="13"/>
                <c:pt idx="0">
                  <c:v>0.98</c:v>
                </c:pt>
                <c:pt idx="1">
                  <c:v>0.95</c:v>
                </c:pt>
                <c:pt idx="2">
                  <c:v>0.83</c:v>
                </c:pt>
                <c:pt idx="3">
                  <c:v>0.67</c:v>
                </c:pt>
                <c:pt idx="4">
                  <c:v>0.53</c:v>
                </c:pt>
                <c:pt idx="5">
                  <c:v>0.46</c:v>
                </c:pt>
                <c:pt idx="6">
                  <c:v>0.35</c:v>
                </c:pt>
                <c:pt idx="7">
                  <c:v>0.28</c:v>
                </c:pt>
                <c:pt idx="8">
                  <c:v>0.25</c:v>
                </c:pt>
                <c:pt idx="9">
                  <c:v>0.22</c:v>
                </c:pt>
                <c:pt idx="10">
                  <c:v>0.19</c:v>
                </c:pt>
                <c:pt idx="11">
                  <c:v>0.17</c:v>
                </c:pt>
                <c:pt idx="12">
                  <c:v>0.13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83849333"/>
        <c:axId val="365039244"/>
      </c:lineChart>
      <c:catAx>
        <c:axId val="5838493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039244"/>
        <c:crosses val="autoZero"/>
        <c:auto val="1"/>
        <c:lblAlgn val="ctr"/>
        <c:lblOffset val="100"/>
        <c:noMultiLvlLbl val="0"/>
      </c:catAx>
      <c:valAx>
        <c:axId val="3650392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3849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2024-02-04T13:25:00Z</dcterms:created>
  <dc:creator>backs</dc:creator>
  <cp:lastModifiedBy>Backsingles</cp:lastModifiedBy>
  <dcterms:modified xsi:type="dcterms:W3CDTF">2024-02-04T14:56:14Z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79CE9D0B2E7F4633B03C68E69E080577_12</vt:lpwstr>
  </property>
</Properties>
</file>