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8B14E" w14:textId="77777777" w:rsidR="004A6758" w:rsidRPr="005615FB" w:rsidRDefault="004A6758" w:rsidP="00BB3F99">
      <w:pPr>
        <w:rPr>
          <w:rFonts w:ascii="Arial" w:hAnsi="Arial" w:cs="Arial"/>
          <w:b/>
          <w:bCs/>
        </w:rPr>
      </w:pPr>
    </w:p>
    <w:p w14:paraId="2986D4EE" w14:textId="460EF610" w:rsidR="004A6758" w:rsidRPr="000C4599" w:rsidRDefault="001C6DEF" w:rsidP="000C4599">
      <w:pPr>
        <w:pStyle w:val="ListParagraph"/>
        <w:rPr>
          <w:lang w:val="en-US"/>
        </w:rPr>
      </w:pPr>
      <w:r>
        <w:rPr>
          <w:rFonts w:ascii="Times New Roman" w:hAnsi="Times New Roman" w:cs="Times New Roman"/>
          <w:b/>
          <w:sz w:val="24"/>
          <w:szCs w:val="24"/>
          <w:lang w:val="en-US"/>
        </w:rPr>
        <w:t>Prediction</w:t>
      </w:r>
      <w:r w:rsidR="00F70EF2" w:rsidRPr="000C4599">
        <w:rPr>
          <w:rFonts w:ascii="Times New Roman" w:hAnsi="Times New Roman" w:cs="Times New Roman"/>
          <w:b/>
          <w:sz w:val="24"/>
          <w:szCs w:val="24"/>
          <w:lang w:val="en-US"/>
        </w:rPr>
        <w:t xml:space="preserve"> </w:t>
      </w:r>
    </w:p>
    <w:p w14:paraId="34A36EE6" w14:textId="77777777" w:rsidR="004A6758" w:rsidRPr="002F6B54" w:rsidRDefault="004A6758" w:rsidP="004A6758">
      <w:pPr>
        <w:rPr>
          <w:lang w:val="en-US"/>
        </w:rPr>
      </w:pPr>
      <w:r w:rsidRPr="002F6B54">
        <w:rPr>
          <w:lang w:val="en-US"/>
        </w:rPr>
        <w:t xml:space="preserve"> 5-fluoro  </w:t>
      </w:r>
      <w:r w:rsidRPr="002F6B54">
        <w:rPr>
          <w:highlight w:val="yellow"/>
          <w:lang w:val="en-US"/>
        </w:rPr>
        <w:t>compound 1</w:t>
      </w:r>
    </w:p>
    <w:p w14:paraId="11103166" w14:textId="3983ACA1" w:rsidR="004A6758" w:rsidRPr="002F6B54" w:rsidRDefault="004A6758" w:rsidP="004A6758">
      <w:pPr>
        <w:rPr>
          <w:lang w:val="en-US"/>
        </w:rPr>
      </w:pPr>
      <w:r w:rsidRPr="0009559C">
        <w:rPr>
          <w:noProof/>
          <w:lang w:eastAsia="pl-PL"/>
        </w:rPr>
        <w:drawing>
          <wp:inline distT="0" distB="0" distL="0" distR="0" wp14:anchorId="55932D48" wp14:editId="0A3D035E">
            <wp:extent cx="1649037" cy="709353"/>
            <wp:effectExtent l="19050" t="0" r="8313" b="0"/>
            <wp:docPr id="7" name="Obraz 1" descr="f"/>
            <wp:cNvGraphicFramePr/>
            <a:graphic xmlns:a="http://schemas.openxmlformats.org/drawingml/2006/main">
              <a:graphicData uri="http://schemas.openxmlformats.org/drawingml/2006/picture">
                <pic:pic xmlns:pic="http://schemas.openxmlformats.org/drawingml/2006/picture">
                  <pic:nvPicPr>
                    <pic:cNvPr id="2" name="Picture 1" descr="f"/>
                    <pic:cNvPicPr>
                      <a:picLocks noChangeAspect="1"/>
                    </pic:cNvPicPr>
                  </pic:nvPicPr>
                  <pic:blipFill>
                    <a:blip r:embed="rId7" cstate="print"/>
                    <a:srcRect l="3602" t="28295" r="2909" b="29263"/>
                    <a:stretch>
                      <a:fillRect/>
                    </a:stretch>
                  </pic:blipFill>
                  <pic:spPr>
                    <a:xfrm>
                      <a:off x="0" y="0"/>
                      <a:ext cx="1649644" cy="709614"/>
                    </a:xfrm>
                    <a:prstGeom prst="rect">
                      <a:avLst/>
                    </a:prstGeom>
                  </pic:spPr>
                </pic:pic>
              </a:graphicData>
            </a:graphic>
          </wp:inline>
        </w:drawing>
      </w:r>
    </w:p>
    <w:p w14:paraId="3543D884" w14:textId="77777777" w:rsidR="004A6758" w:rsidRPr="002F6B54" w:rsidRDefault="004A6758" w:rsidP="004A6758">
      <w:pPr>
        <w:rPr>
          <w:lang w:val="en-US"/>
        </w:rPr>
      </w:pPr>
      <w:r>
        <w:rPr>
          <w:noProof/>
          <w:lang w:eastAsia="pl-PL"/>
        </w:rPr>
        <w:drawing>
          <wp:anchor distT="0" distB="0" distL="114300" distR="114300" simplePos="0" relativeHeight="251659264" behindDoc="0" locked="0" layoutInCell="1" allowOverlap="1" wp14:anchorId="61B6E950" wp14:editId="41219CCC">
            <wp:simplePos x="0" y="0"/>
            <wp:positionH relativeFrom="column">
              <wp:posOffset>155575</wp:posOffset>
            </wp:positionH>
            <wp:positionV relativeFrom="paragraph">
              <wp:posOffset>210705</wp:posOffset>
            </wp:positionV>
            <wp:extent cx="1527117" cy="1108363"/>
            <wp:effectExtent l="19050" t="0" r="0" b="0"/>
            <wp:wrapNone/>
            <wp:docPr id="21" name="Picture 5"/>
            <wp:cNvGraphicFramePr/>
            <a:graphic xmlns:a="http://schemas.openxmlformats.org/drawingml/2006/main">
              <a:graphicData uri="http://schemas.openxmlformats.org/drawingml/2006/picture">
                <pic:pic xmlns:pic="http://schemas.openxmlformats.org/drawingml/2006/picture">
                  <pic:nvPicPr>
                    <pic:cNvPr id="6" name="Picture 5" descr="f"/>
                    <pic:cNvPicPr>
                      <a:picLocks noChangeAspect="1"/>
                    </pic:cNvPicPr>
                  </pic:nvPicPr>
                  <pic:blipFill>
                    <a:blip r:embed="rId8" cstate="print"/>
                    <a:srcRect l="3188" t="13295" r="2695" b="13487"/>
                    <a:stretch>
                      <a:fillRect/>
                    </a:stretch>
                  </pic:blipFill>
                  <pic:spPr>
                    <a:xfrm>
                      <a:off x="0" y="0"/>
                      <a:ext cx="1527117" cy="1108363"/>
                    </a:xfrm>
                    <a:prstGeom prst="rect">
                      <a:avLst/>
                    </a:prstGeom>
                  </pic:spPr>
                </pic:pic>
              </a:graphicData>
            </a:graphic>
          </wp:anchor>
        </w:drawing>
      </w:r>
      <w:r w:rsidRPr="002F6B54">
        <w:rPr>
          <w:lang w:val="en-US"/>
        </w:rPr>
        <w:t xml:space="preserve">6-fenylo  </w:t>
      </w:r>
      <w:r w:rsidRPr="002F6B54">
        <w:rPr>
          <w:highlight w:val="yellow"/>
          <w:lang w:val="en-US"/>
        </w:rPr>
        <w:t xml:space="preserve">compound </w:t>
      </w:r>
      <w:r w:rsidRPr="002F6B54">
        <w:rPr>
          <w:lang w:val="en-US"/>
        </w:rPr>
        <w:t>2</w:t>
      </w:r>
    </w:p>
    <w:p w14:paraId="06D61E37" w14:textId="77777777" w:rsidR="004A6758" w:rsidRPr="002F6B54" w:rsidRDefault="004A6758" w:rsidP="004A6758">
      <w:pPr>
        <w:rPr>
          <w:lang w:val="en-US"/>
        </w:rPr>
      </w:pPr>
    </w:p>
    <w:p w14:paraId="5F51EAC9" w14:textId="77777777" w:rsidR="004A6758" w:rsidRPr="002F6B54" w:rsidRDefault="004A6758" w:rsidP="004A6758">
      <w:pPr>
        <w:rPr>
          <w:lang w:val="en-US"/>
        </w:rPr>
      </w:pPr>
    </w:p>
    <w:p w14:paraId="64A913CF" w14:textId="77777777" w:rsidR="004A6758" w:rsidRPr="002F6B54" w:rsidRDefault="004A6758" w:rsidP="004A6758">
      <w:pPr>
        <w:rPr>
          <w:lang w:val="en-US"/>
        </w:rPr>
      </w:pPr>
    </w:p>
    <w:p w14:paraId="2F0E556B" w14:textId="77777777" w:rsidR="004A6758" w:rsidRDefault="004A6758" w:rsidP="004A6758">
      <w:pPr>
        <w:rPr>
          <w:lang w:val="en-US"/>
        </w:rPr>
      </w:pPr>
    </w:p>
    <w:p w14:paraId="53EFC62F" w14:textId="77777777" w:rsidR="004A6758" w:rsidRPr="001C6DEF" w:rsidRDefault="004A6758" w:rsidP="004A6758">
      <w:pPr>
        <w:rPr>
          <w:lang w:val="en-US"/>
        </w:rPr>
      </w:pPr>
      <w:r w:rsidRPr="001C6DEF">
        <w:rPr>
          <w:lang w:val="en-US"/>
        </w:rPr>
        <w:t xml:space="preserve">5-propylo   </w:t>
      </w:r>
      <w:r w:rsidRPr="001C6DEF">
        <w:rPr>
          <w:highlight w:val="yellow"/>
          <w:lang w:val="en-US"/>
        </w:rPr>
        <w:t xml:space="preserve">compound </w:t>
      </w:r>
      <w:r w:rsidR="00105F95" w:rsidRPr="001C6DEF">
        <w:rPr>
          <w:lang w:val="en-US"/>
        </w:rPr>
        <w:t>3</w:t>
      </w:r>
      <w:r w:rsidR="006A2691" w:rsidRPr="001C6DEF">
        <w:rPr>
          <w:lang w:val="en-US"/>
        </w:rPr>
        <w:t xml:space="preserve">   </w:t>
      </w:r>
    </w:p>
    <w:p w14:paraId="0E9A94D9" w14:textId="268F4B5D" w:rsidR="004A6758" w:rsidRPr="00E530F6" w:rsidRDefault="004A6758" w:rsidP="004A6758">
      <w:pPr>
        <w:rPr>
          <w:lang w:val="en-US"/>
        </w:rPr>
      </w:pPr>
      <w:r w:rsidRPr="00DB1AB0">
        <w:rPr>
          <w:noProof/>
          <w:lang w:eastAsia="pl-PL"/>
        </w:rPr>
        <w:drawing>
          <wp:inline distT="0" distB="0" distL="0" distR="0" wp14:anchorId="418905D1" wp14:editId="40B0F63F">
            <wp:extent cx="1651865" cy="886691"/>
            <wp:effectExtent l="19050" t="0" r="5485" b="0"/>
            <wp:docPr id="8" name="Obraz 4" descr="f"/>
            <wp:cNvGraphicFramePr/>
            <a:graphic xmlns:a="http://schemas.openxmlformats.org/drawingml/2006/main">
              <a:graphicData uri="http://schemas.openxmlformats.org/drawingml/2006/picture">
                <pic:pic xmlns:pic="http://schemas.openxmlformats.org/drawingml/2006/picture">
                  <pic:nvPicPr>
                    <pic:cNvPr id="4" name="Picture 3" descr="f"/>
                    <pic:cNvPicPr>
                      <a:picLocks noChangeAspect="1"/>
                    </pic:cNvPicPr>
                  </pic:nvPicPr>
                  <pic:blipFill>
                    <a:blip r:embed="rId9" cstate="print"/>
                    <a:srcRect l="3405" t="25000" r="3491" b="25388"/>
                    <a:stretch>
                      <a:fillRect/>
                    </a:stretch>
                  </pic:blipFill>
                  <pic:spPr>
                    <a:xfrm>
                      <a:off x="0" y="0"/>
                      <a:ext cx="1651865" cy="886691"/>
                    </a:xfrm>
                    <a:prstGeom prst="rect">
                      <a:avLst/>
                    </a:prstGeom>
                  </pic:spPr>
                </pic:pic>
              </a:graphicData>
            </a:graphic>
          </wp:inline>
        </w:drawing>
      </w:r>
    </w:p>
    <w:p w14:paraId="5B4D1376" w14:textId="77777777" w:rsidR="00105F95" w:rsidRPr="001C6DEF" w:rsidRDefault="00105F95" w:rsidP="00105F95">
      <w:pPr>
        <w:rPr>
          <w:lang w:val="en-US"/>
        </w:rPr>
      </w:pPr>
      <w:r w:rsidRPr="001C6DEF">
        <w:rPr>
          <w:lang w:val="en-US"/>
        </w:rPr>
        <w:t xml:space="preserve">6-propylo  </w:t>
      </w:r>
      <w:r w:rsidRPr="001C6DEF">
        <w:rPr>
          <w:highlight w:val="yellow"/>
          <w:lang w:val="en-US"/>
        </w:rPr>
        <w:t xml:space="preserve">compound </w:t>
      </w:r>
      <w:r w:rsidRPr="001C6DEF">
        <w:rPr>
          <w:lang w:val="en-US"/>
        </w:rPr>
        <w:t xml:space="preserve">4   </w:t>
      </w:r>
    </w:p>
    <w:p w14:paraId="36F06C69" w14:textId="7A1DB023" w:rsidR="00105F95" w:rsidRPr="004A6758" w:rsidRDefault="00105F95" w:rsidP="00105F95">
      <w:pPr>
        <w:rPr>
          <w:lang w:val="en-US"/>
        </w:rPr>
      </w:pPr>
      <w:r w:rsidRPr="00DB1AB0">
        <w:rPr>
          <w:noProof/>
          <w:lang w:eastAsia="pl-PL"/>
        </w:rPr>
        <w:drawing>
          <wp:inline distT="0" distB="0" distL="0" distR="0" wp14:anchorId="5FE3A820" wp14:editId="3BB5BA47">
            <wp:extent cx="1593619" cy="1047404"/>
            <wp:effectExtent l="19050" t="0" r="6581" b="0"/>
            <wp:docPr id="2" name="Obraz 3" descr="f"/>
            <wp:cNvGraphicFramePr/>
            <a:graphic xmlns:a="http://schemas.openxmlformats.org/drawingml/2006/main">
              <a:graphicData uri="http://schemas.openxmlformats.org/drawingml/2006/picture">
                <pic:pic xmlns:pic="http://schemas.openxmlformats.org/drawingml/2006/picture">
                  <pic:nvPicPr>
                    <pic:cNvPr id="5" name="Picture 4" descr="f"/>
                    <pic:cNvPicPr>
                      <a:picLocks noChangeAspect="1"/>
                    </pic:cNvPicPr>
                  </pic:nvPicPr>
                  <pic:blipFill>
                    <a:blip r:embed="rId10" cstate="print"/>
                    <a:srcRect l="2826" t="17829" r="2909" b="17636"/>
                    <a:stretch>
                      <a:fillRect/>
                    </a:stretch>
                  </pic:blipFill>
                  <pic:spPr>
                    <a:xfrm>
                      <a:off x="0" y="0"/>
                      <a:ext cx="1594200" cy="1047786"/>
                    </a:xfrm>
                    <a:prstGeom prst="rect">
                      <a:avLst/>
                    </a:prstGeom>
                  </pic:spPr>
                </pic:pic>
              </a:graphicData>
            </a:graphic>
          </wp:inline>
        </w:drawing>
      </w:r>
    </w:p>
    <w:p w14:paraId="3C6ECBB0" w14:textId="77777777" w:rsidR="000C4599" w:rsidRDefault="000C4599" w:rsidP="004A6758">
      <w:pPr>
        <w:rPr>
          <w:lang w:val="en-US"/>
        </w:rPr>
      </w:pPr>
    </w:p>
    <w:p w14:paraId="0188FA21" w14:textId="77777777" w:rsidR="000C4599" w:rsidRPr="001C6DEF" w:rsidRDefault="000C4599" w:rsidP="000C4599">
      <w:pPr>
        <w:rPr>
          <w:rFonts w:ascii="Arial" w:hAnsi="Arial" w:cs="Arial"/>
          <w:b/>
          <w:sz w:val="24"/>
          <w:szCs w:val="24"/>
        </w:rPr>
      </w:pPr>
      <w:proofErr w:type="spellStart"/>
      <w:r w:rsidRPr="001C6DEF">
        <w:rPr>
          <w:rFonts w:ascii="Arial" w:hAnsi="Arial" w:cs="Arial"/>
          <w:b/>
          <w:sz w:val="24"/>
          <w:szCs w:val="24"/>
        </w:rPr>
        <w:t>Irman</w:t>
      </w:r>
      <w:proofErr w:type="spellEnd"/>
      <w:r w:rsidRPr="001C6DEF">
        <w:rPr>
          <w:rFonts w:ascii="Arial" w:hAnsi="Arial" w:cs="Arial"/>
          <w:b/>
          <w:sz w:val="24"/>
          <w:szCs w:val="24"/>
        </w:rPr>
        <w:t xml:space="preserve"> La Ode </w:t>
      </w:r>
      <w:proofErr w:type="spellStart"/>
      <w:r w:rsidRPr="001C6DEF">
        <w:rPr>
          <w:rFonts w:ascii="Arial" w:hAnsi="Arial" w:cs="Arial"/>
          <w:b/>
          <w:sz w:val="24"/>
          <w:szCs w:val="24"/>
        </w:rPr>
        <w:t>Jaya</w:t>
      </w:r>
      <w:proofErr w:type="spellEnd"/>
      <w:r w:rsidRPr="001C6DEF">
        <w:rPr>
          <w:rFonts w:ascii="Arial" w:hAnsi="Arial" w:cs="Arial"/>
          <w:b/>
          <w:sz w:val="24"/>
          <w:szCs w:val="24"/>
        </w:rPr>
        <w:t>, Lucyna Mrówczyńska</w:t>
      </w:r>
    </w:p>
    <w:p w14:paraId="7EF079A2" w14:textId="77777777" w:rsidR="000C4599" w:rsidRPr="000C4599" w:rsidRDefault="000C4599" w:rsidP="000C4599">
      <w:pPr>
        <w:rPr>
          <w:rFonts w:ascii="Arial" w:hAnsi="Arial" w:cs="Arial"/>
          <w:b/>
          <w:sz w:val="24"/>
          <w:szCs w:val="24"/>
        </w:rPr>
      </w:pPr>
      <w:r w:rsidRPr="000C4599">
        <w:rPr>
          <w:rFonts w:ascii="Arial" w:hAnsi="Arial" w:cs="Arial"/>
          <w:b/>
          <w:sz w:val="24"/>
          <w:szCs w:val="24"/>
        </w:rPr>
        <w:t>Zakład Biologii Komórki UAM Wydział Biologii</w:t>
      </w:r>
    </w:p>
    <w:p w14:paraId="6A773E27" w14:textId="77777777" w:rsidR="000C4599" w:rsidRPr="001C6DEF" w:rsidRDefault="000C4599" w:rsidP="004A6758"/>
    <w:p w14:paraId="7B983EBF" w14:textId="77777777" w:rsidR="00BB3F99" w:rsidRPr="004A6758" w:rsidRDefault="004A6758" w:rsidP="00BB3F99">
      <w:pPr>
        <w:rPr>
          <w:rFonts w:ascii="Arial" w:hAnsi="Arial" w:cs="Arial"/>
          <w:b/>
          <w:bCs/>
          <w:lang w:val="en-US"/>
        </w:rPr>
      </w:pPr>
      <w:r w:rsidRPr="004A6758">
        <w:rPr>
          <w:rFonts w:ascii="Arial" w:hAnsi="Arial" w:cs="Arial"/>
          <w:b/>
          <w:bCs/>
          <w:lang w:val="en-US"/>
        </w:rPr>
        <w:t>Biological activity</w:t>
      </w:r>
      <w:r w:rsidRPr="00D93E9F">
        <w:rPr>
          <w:rFonts w:ascii="Arial" w:hAnsi="Arial" w:cs="Arial"/>
          <w:b/>
          <w:bCs/>
          <w:i/>
          <w:iCs/>
          <w:lang w:val="en-US"/>
        </w:rPr>
        <w:t xml:space="preserve"> </w:t>
      </w:r>
      <w:r w:rsidR="00D93E9F" w:rsidRPr="00D93E9F">
        <w:rPr>
          <w:rFonts w:ascii="Arial" w:hAnsi="Arial" w:cs="Arial"/>
          <w:b/>
          <w:bCs/>
          <w:i/>
          <w:iCs/>
          <w:lang w:val="en-US"/>
        </w:rPr>
        <w:t>in vitro</w:t>
      </w:r>
      <w:r w:rsidR="00D93E9F">
        <w:rPr>
          <w:rFonts w:ascii="Arial" w:hAnsi="Arial" w:cs="Arial"/>
          <w:b/>
          <w:bCs/>
          <w:lang w:val="en-US"/>
        </w:rPr>
        <w:t xml:space="preserve"> </w:t>
      </w:r>
      <w:r w:rsidR="00E62234">
        <w:rPr>
          <w:rFonts w:ascii="Arial" w:hAnsi="Arial" w:cs="Arial"/>
          <w:b/>
          <w:bCs/>
          <w:lang w:val="en-US"/>
        </w:rPr>
        <w:t xml:space="preserve">– </w:t>
      </w:r>
      <w:r w:rsidR="00DA7A2E">
        <w:rPr>
          <w:rFonts w:ascii="Arial" w:hAnsi="Arial" w:cs="Arial"/>
          <w:b/>
          <w:bCs/>
          <w:lang w:val="en-US"/>
        </w:rPr>
        <w:t>results</w:t>
      </w:r>
      <w:r w:rsidR="00E62234">
        <w:rPr>
          <w:rFonts w:ascii="Arial" w:hAnsi="Arial" w:cs="Arial"/>
          <w:b/>
          <w:bCs/>
          <w:lang w:val="en-US"/>
        </w:rPr>
        <w:t xml:space="preserve"> and </w:t>
      </w:r>
      <w:r w:rsidR="00DA7A2E">
        <w:rPr>
          <w:rFonts w:ascii="Arial" w:hAnsi="Arial" w:cs="Arial"/>
          <w:b/>
          <w:bCs/>
          <w:lang w:val="en-US"/>
        </w:rPr>
        <w:t xml:space="preserve">main </w:t>
      </w:r>
      <w:r w:rsidR="00E62234">
        <w:rPr>
          <w:rFonts w:ascii="Arial" w:hAnsi="Arial" w:cs="Arial"/>
          <w:b/>
          <w:bCs/>
          <w:lang w:val="en-US"/>
        </w:rPr>
        <w:t>conclusion</w:t>
      </w:r>
    </w:p>
    <w:p w14:paraId="1AAC2AC3" w14:textId="77777777" w:rsidR="00662B25" w:rsidRPr="000D26DB" w:rsidRDefault="00662B25" w:rsidP="00DA7A2E">
      <w:pPr>
        <w:pStyle w:val="ListParagraph"/>
        <w:numPr>
          <w:ilvl w:val="0"/>
          <w:numId w:val="3"/>
        </w:numPr>
        <w:ind w:left="284"/>
        <w:rPr>
          <w:rFonts w:ascii="Arial" w:hAnsi="Arial" w:cs="Arial"/>
          <w:b/>
          <w:bCs/>
          <w:lang w:val="en-US"/>
        </w:rPr>
      </w:pPr>
      <w:r w:rsidRPr="000D26DB">
        <w:rPr>
          <w:rFonts w:ascii="Arial" w:hAnsi="Arial" w:cs="Arial"/>
          <w:b/>
          <w:bCs/>
          <w:lang w:val="en-US"/>
        </w:rPr>
        <w:t xml:space="preserve">Hemolytic activity </w:t>
      </w:r>
      <w:r w:rsidR="000D26DB" w:rsidRPr="000D26DB">
        <w:rPr>
          <w:rFonts w:ascii="Arial" w:hAnsi="Arial" w:cs="Arial"/>
          <w:b/>
          <w:bCs/>
          <w:lang w:val="en-US"/>
        </w:rPr>
        <w:t>(human red b</w:t>
      </w:r>
      <w:r w:rsidR="000D26DB">
        <w:rPr>
          <w:rFonts w:ascii="Arial" w:hAnsi="Arial" w:cs="Arial"/>
          <w:b/>
          <w:bCs/>
          <w:lang w:val="en-US"/>
        </w:rPr>
        <w:t>lood cells, RBC)</w:t>
      </w:r>
    </w:p>
    <w:p w14:paraId="59F13A9A" w14:textId="7EA61FD4" w:rsidR="00E62234" w:rsidRDefault="00E62234" w:rsidP="00E62234">
      <w:pPr>
        <w:jc w:val="both"/>
        <w:rPr>
          <w:rFonts w:ascii="Arial" w:hAnsi="Arial" w:cs="Arial"/>
          <w:lang w:val="en-US"/>
        </w:rPr>
      </w:pPr>
      <w:r>
        <w:rPr>
          <w:rFonts w:ascii="Arial" w:hAnsi="Arial" w:cs="Arial"/>
          <w:lang w:val="en-US"/>
        </w:rPr>
        <w:t xml:space="preserve">- </w:t>
      </w:r>
      <w:r w:rsidRPr="00E62234">
        <w:rPr>
          <w:rFonts w:ascii="Arial" w:hAnsi="Arial" w:cs="Arial"/>
          <w:lang w:val="en-US"/>
        </w:rPr>
        <w:t>after the standard incubation (1 hour at 37°C)</w:t>
      </w:r>
      <w:r>
        <w:rPr>
          <w:rFonts w:ascii="Arial" w:hAnsi="Arial" w:cs="Arial"/>
          <w:lang w:val="en-US"/>
        </w:rPr>
        <w:t xml:space="preserve"> at the concentration of </w:t>
      </w:r>
      <w:r w:rsidRPr="00E62234">
        <w:rPr>
          <w:rFonts w:ascii="Arial" w:hAnsi="Arial" w:cs="Arial"/>
          <w:lang w:val="en-US"/>
        </w:rPr>
        <w:t>0.05</w:t>
      </w:r>
      <w:r>
        <w:rPr>
          <w:rFonts w:ascii="Arial" w:hAnsi="Arial" w:cs="Arial"/>
          <w:lang w:val="en-US"/>
        </w:rPr>
        <w:t xml:space="preserve"> and </w:t>
      </w:r>
      <w:r w:rsidRPr="00E62234">
        <w:rPr>
          <w:rFonts w:ascii="Arial" w:hAnsi="Arial" w:cs="Arial"/>
          <w:lang w:val="en-US"/>
        </w:rPr>
        <w:t>0.1 mg/mL</w:t>
      </w:r>
      <w:r>
        <w:rPr>
          <w:rFonts w:ascii="Arial" w:hAnsi="Arial" w:cs="Arial"/>
          <w:lang w:val="en-US"/>
        </w:rPr>
        <w:t>,</w:t>
      </w:r>
      <w:r w:rsidR="008A781C" w:rsidRPr="00E62234">
        <w:rPr>
          <w:rFonts w:ascii="Arial" w:hAnsi="Arial" w:cs="Arial"/>
          <w:lang w:val="en-US"/>
        </w:rPr>
        <w:t xml:space="preserve"> </w:t>
      </w:r>
      <w:r w:rsidRPr="00E62234">
        <w:rPr>
          <w:rFonts w:ascii="Arial" w:hAnsi="Arial" w:cs="Arial"/>
          <w:lang w:val="en-US"/>
        </w:rPr>
        <w:t xml:space="preserve">compounds </w:t>
      </w:r>
      <w:r>
        <w:rPr>
          <w:rFonts w:ascii="Arial" w:hAnsi="Arial" w:cs="Arial"/>
          <w:lang w:val="en-US"/>
        </w:rPr>
        <w:t xml:space="preserve">1-4 </w:t>
      </w:r>
      <w:r w:rsidRPr="00E62234">
        <w:rPr>
          <w:rFonts w:ascii="Arial" w:hAnsi="Arial" w:cs="Arial"/>
          <w:lang w:val="en-US"/>
        </w:rPr>
        <w:t xml:space="preserve">are cytotoxic (hemolysis </w:t>
      </w:r>
      <w:r>
        <w:rPr>
          <w:rFonts w:ascii="Arial" w:hAnsi="Arial" w:cs="Arial"/>
          <w:lang w:val="en-US"/>
        </w:rPr>
        <w:t xml:space="preserve">degree </w:t>
      </w:r>
      <w:r w:rsidRPr="00E62234">
        <w:rPr>
          <w:rFonts w:ascii="Arial" w:hAnsi="Arial" w:cs="Arial"/>
          <w:lang w:val="en-US"/>
        </w:rPr>
        <w:t>&gt;5%</w:t>
      </w:r>
      <w:r>
        <w:rPr>
          <w:rFonts w:ascii="Arial" w:hAnsi="Arial" w:cs="Arial"/>
          <w:lang w:val="en-US"/>
        </w:rPr>
        <w:t xml:space="preserve">, Table </w:t>
      </w:r>
      <w:r w:rsidR="00284B01">
        <w:rPr>
          <w:rFonts w:ascii="Arial" w:hAnsi="Arial" w:cs="Arial"/>
          <w:lang w:val="en-US"/>
        </w:rPr>
        <w:t>S1</w:t>
      </w:r>
      <w:r>
        <w:rPr>
          <w:rFonts w:ascii="Arial" w:hAnsi="Arial" w:cs="Arial"/>
          <w:lang w:val="en-US"/>
        </w:rPr>
        <w:t xml:space="preserve">); hemolytic activity of all compounds is </w:t>
      </w:r>
      <w:r w:rsidR="00DA7A2E">
        <w:rPr>
          <w:rFonts w:ascii="Arial" w:hAnsi="Arial" w:cs="Arial"/>
          <w:lang w:val="en-US"/>
        </w:rPr>
        <w:t>a structure</w:t>
      </w:r>
      <w:r w:rsidR="000D26DB">
        <w:rPr>
          <w:rFonts w:ascii="Arial" w:hAnsi="Arial" w:cs="Arial"/>
          <w:lang w:val="en-US"/>
        </w:rPr>
        <w:t>-</w:t>
      </w:r>
      <w:r w:rsidR="00DA7A2E">
        <w:rPr>
          <w:rFonts w:ascii="Arial" w:hAnsi="Arial" w:cs="Arial"/>
          <w:lang w:val="en-US"/>
        </w:rPr>
        <w:t xml:space="preserve"> and a </w:t>
      </w:r>
      <w:r>
        <w:rPr>
          <w:rFonts w:ascii="Arial" w:hAnsi="Arial" w:cs="Arial"/>
          <w:lang w:val="en-US"/>
        </w:rPr>
        <w:t xml:space="preserve">dose-dependent </w:t>
      </w:r>
    </w:p>
    <w:p w14:paraId="166215E4" w14:textId="6B9433FC" w:rsidR="008A781C" w:rsidRPr="00D20CD8" w:rsidRDefault="00E62234" w:rsidP="00A122C9">
      <w:pPr>
        <w:jc w:val="both"/>
        <w:rPr>
          <w:rFonts w:ascii="Arial" w:hAnsi="Arial" w:cs="Arial"/>
          <w:lang w:val="en-US"/>
        </w:rPr>
      </w:pPr>
      <w:r>
        <w:rPr>
          <w:rFonts w:ascii="Arial" w:hAnsi="Arial" w:cs="Arial"/>
          <w:lang w:val="en-US"/>
        </w:rPr>
        <w:t xml:space="preserve">- </w:t>
      </w:r>
      <w:r w:rsidRPr="00E62234">
        <w:rPr>
          <w:rFonts w:ascii="Arial" w:hAnsi="Arial" w:cs="Arial"/>
          <w:lang w:val="en-US"/>
        </w:rPr>
        <w:t>after the standard incubation (1 hour at 37°C)</w:t>
      </w:r>
      <w:r>
        <w:rPr>
          <w:rFonts w:ascii="Arial" w:hAnsi="Arial" w:cs="Arial"/>
          <w:lang w:val="en-US"/>
        </w:rPr>
        <w:t xml:space="preserve"> a</w:t>
      </w:r>
      <w:r w:rsidR="00A122C9" w:rsidRPr="00D20CD8">
        <w:rPr>
          <w:rFonts w:ascii="Arial" w:hAnsi="Arial" w:cs="Arial"/>
          <w:lang w:val="en-US"/>
        </w:rPr>
        <w:t xml:space="preserve">t concentration </w:t>
      </w:r>
      <w:r w:rsidR="00095D22">
        <w:rPr>
          <w:rFonts w:ascii="Arial" w:hAnsi="Arial" w:cs="Arial"/>
          <w:lang w:val="en-US"/>
        </w:rPr>
        <w:t xml:space="preserve">of </w:t>
      </w:r>
      <w:r w:rsidR="00A122C9" w:rsidRPr="00D20CD8">
        <w:rPr>
          <w:rFonts w:ascii="Arial" w:hAnsi="Arial" w:cs="Arial"/>
          <w:lang w:val="en-US"/>
        </w:rPr>
        <w:t>0.</w:t>
      </w:r>
      <w:r>
        <w:rPr>
          <w:rFonts w:ascii="Arial" w:hAnsi="Arial" w:cs="Arial"/>
          <w:lang w:val="en-US"/>
        </w:rPr>
        <w:t>0</w:t>
      </w:r>
      <w:r w:rsidR="00A122C9" w:rsidRPr="00D20CD8">
        <w:rPr>
          <w:rFonts w:ascii="Arial" w:hAnsi="Arial" w:cs="Arial"/>
          <w:lang w:val="en-US"/>
        </w:rPr>
        <w:t xml:space="preserve">1 mg/mL hemolytic activity of compounds </w:t>
      </w:r>
      <w:r>
        <w:rPr>
          <w:rFonts w:ascii="Arial" w:hAnsi="Arial" w:cs="Arial"/>
          <w:lang w:val="en-US"/>
        </w:rPr>
        <w:t xml:space="preserve">(Table </w:t>
      </w:r>
      <w:r w:rsidR="00284B01">
        <w:rPr>
          <w:rFonts w:ascii="Arial" w:hAnsi="Arial" w:cs="Arial"/>
          <w:lang w:val="en-US"/>
        </w:rPr>
        <w:t>S1</w:t>
      </w:r>
      <w:r>
        <w:rPr>
          <w:rFonts w:ascii="Arial" w:hAnsi="Arial" w:cs="Arial"/>
          <w:lang w:val="en-US"/>
        </w:rPr>
        <w:t xml:space="preserve">) </w:t>
      </w:r>
      <w:r w:rsidR="00A122C9" w:rsidRPr="00D20CD8">
        <w:rPr>
          <w:rFonts w:ascii="Arial" w:hAnsi="Arial" w:cs="Arial"/>
          <w:lang w:val="en-US"/>
        </w:rPr>
        <w:t xml:space="preserve">is higher than obtained for negative control (PBS buffer) equal to </w:t>
      </w:r>
      <w:r w:rsidR="00A122C9" w:rsidRPr="005615FB">
        <w:rPr>
          <w:rFonts w:ascii="Arial" w:hAnsi="Arial" w:cs="Arial"/>
          <w:b/>
          <w:bCs/>
          <w:lang w:val="en-US"/>
        </w:rPr>
        <w:t>3.14±0.14</w:t>
      </w:r>
      <w:r>
        <w:rPr>
          <w:rFonts w:ascii="Arial" w:hAnsi="Arial" w:cs="Arial"/>
          <w:lang w:val="en-US"/>
        </w:rPr>
        <w:t xml:space="preserve"> (Fig. </w:t>
      </w:r>
      <w:r w:rsidR="00284B01">
        <w:rPr>
          <w:rFonts w:ascii="Arial" w:hAnsi="Arial" w:cs="Arial"/>
          <w:lang w:val="en-US"/>
        </w:rPr>
        <w:t>S5</w:t>
      </w:r>
      <w:r>
        <w:rPr>
          <w:rFonts w:ascii="Arial" w:hAnsi="Arial" w:cs="Arial"/>
          <w:lang w:val="en-US"/>
        </w:rPr>
        <w:t>); h</w:t>
      </w:r>
      <w:r w:rsidR="00A122C9" w:rsidRPr="00D20CD8">
        <w:rPr>
          <w:rFonts w:ascii="Arial" w:hAnsi="Arial" w:cs="Arial"/>
          <w:lang w:val="en-US"/>
        </w:rPr>
        <w:t xml:space="preserve">owever, any value </w:t>
      </w:r>
      <w:r w:rsidR="008A781C" w:rsidRPr="00D20CD8">
        <w:rPr>
          <w:rFonts w:ascii="Arial" w:hAnsi="Arial" w:cs="Arial"/>
          <w:lang w:val="en-US"/>
        </w:rPr>
        <w:t xml:space="preserve">lower than </w:t>
      </w:r>
      <w:r w:rsidR="00A122C9" w:rsidRPr="00D20CD8">
        <w:rPr>
          <w:rFonts w:ascii="Arial" w:hAnsi="Arial" w:cs="Arial"/>
          <w:lang w:val="en-US"/>
        </w:rPr>
        <w:t xml:space="preserve">5% allows </w:t>
      </w:r>
      <w:r>
        <w:rPr>
          <w:rFonts w:ascii="Arial" w:hAnsi="Arial" w:cs="Arial"/>
          <w:lang w:val="en-US"/>
        </w:rPr>
        <w:t xml:space="preserve">any </w:t>
      </w:r>
      <w:r w:rsidR="008A781C" w:rsidRPr="00D20CD8">
        <w:rPr>
          <w:rFonts w:ascii="Arial" w:hAnsi="Arial" w:cs="Arial"/>
          <w:lang w:val="en-US"/>
        </w:rPr>
        <w:t xml:space="preserve">compounds </w:t>
      </w:r>
      <w:r w:rsidR="00A122C9" w:rsidRPr="00D20CD8">
        <w:rPr>
          <w:rFonts w:ascii="Arial" w:hAnsi="Arial" w:cs="Arial"/>
          <w:lang w:val="en-US"/>
        </w:rPr>
        <w:t xml:space="preserve">defined as </w:t>
      </w:r>
      <w:proofErr w:type="spellStart"/>
      <w:r w:rsidR="00A122C9" w:rsidRPr="00D20CD8">
        <w:rPr>
          <w:rFonts w:ascii="Arial" w:hAnsi="Arial" w:cs="Arial"/>
          <w:lang w:val="en-US"/>
        </w:rPr>
        <w:t>hemocompatible</w:t>
      </w:r>
      <w:proofErr w:type="spellEnd"/>
      <w:r w:rsidR="00A122C9" w:rsidRPr="00D20CD8">
        <w:rPr>
          <w:rFonts w:ascii="Arial" w:hAnsi="Arial" w:cs="Arial"/>
          <w:lang w:val="en-US"/>
        </w:rPr>
        <w:t xml:space="preserve"> </w:t>
      </w:r>
      <w:r w:rsidR="00DA7A2E">
        <w:rPr>
          <w:rFonts w:ascii="Arial" w:hAnsi="Arial" w:cs="Arial"/>
          <w:lang w:val="en-US"/>
        </w:rPr>
        <w:t>for potential biomedical applications</w:t>
      </w:r>
      <w:r w:rsidR="008A781C" w:rsidRPr="00D20CD8">
        <w:rPr>
          <w:rFonts w:ascii="Arial" w:hAnsi="Arial" w:cs="Arial"/>
          <w:lang w:val="en-US"/>
        </w:rPr>
        <w:t>.</w:t>
      </w:r>
    </w:p>
    <w:p w14:paraId="4BEE8D8A" w14:textId="77777777" w:rsidR="00E62234" w:rsidRDefault="00E62234" w:rsidP="00A122C9">
      <w:pPr>
        <w:jc w:val="both"/>
        <w:rPr>
          <w:rFonts w:ascii="Arial" w:hAnsi="Arial" w:cs="Arial"/>
          <w:b/>
          <w:bCs/>
          <w:lang w:val="en-US"/>
        </w:rPr>
      </w:pPr>
    </w:p>
    <w:p w14:paraId="19B8CC70" w14:textId="5A392C6E" w:rsidR="00A122C9" w:rsidRPr="00D20CD8" w:rsidRDefault="00A122C9" w:rsidP="00A122C9">
      <w:pPr>
        <w:jc w:val="both"/>
        <w:rPr>
          <w:rFonts w:ascii="Arial" w:hAnsi="Arial" w:cs="Arial"/>
          <w:b/>
          <w:bCs/>
          <w:lang w:val="en-US"/>
        </w:rPr>
      </w:pPr>
      <w:r w:rsidRPr="00D20CD8">
        <w:rPr>
          <w:rFonts w:ascii="Arial" w:hAnsi="Arial" w:cs="Arial"/>
          <w:b/>
          <w:bCs/>
          <w:lang w:val="en-US"/>
        </w:rPr>
        <w:t xml:space="preserve">Table </w:t>
      </w:r>
      <w:r w:rsidR="004855A6">
        <w:rPr>
          <w:rFonts w:ascii="Arial" w:hAnsi="Arial" w:cs="Arial"/>
          <w:b/>
          <w:bCs/>
          <w:lang w:val="en-US"/>
        </w:rPr>
        <w:t>S</w:t>
      </w:r>
      <w:r w:rsidR="00284B01">
        <w:rPr>
          <w:rFonts w:ascii="Arial" w:hAnsi="Arial" w:cs="Arial"/>
          <w:b/>
          <w:bCs/>
          <w:lang w:val="en-US"/>
        </w:rPr>
        <w:t>1</w:t>
      </w:r>
    </w:p>
    <w:p w14:paraId="6187AE57" w14:textId="77777777" w:rsidR="00A122C9" w:rsidRPr="00DA7A2E" w:rsidRDefault="00A122C9" w:rsidP="00A122C9">
      <w:pPr>
        <w:jc w:val="both"/>
        <w:rPr>
          <w:rFonts w:ascii="Arial" w:hAnsi="Arial" w:cs="Arial"/>
          <w:sz w:val="20"/>
          <w:szCs w:val="20"/>
          <w:lang w:val="en-US"/>
        </w:rPr>
      </w:pPr>
      <w:r w:rsidRPr="00DA7A2E">
        <w:rPr>
          <w:rFonts w:ascii="Arial" w:hAnsi="Arial" w:cs="Arial"/>
          <w:sz w:val="20"/>
          <w:szCs w:val="20"/>
          <w:lang w:val="en-US"/>
        </w:rPr>
        <w:t xml:space="preserve">Hemolytic activity (%) of compounds 1-4 at </w:t>
      </w:r>
      <w:r w:rsidR="00E62234" w:rsidRPr="00DA7A2E">
        <w:rPr>
          <w:rFonts w:ascii="Arial" w:hAnsi="Arial" w:cs="Arial"/>
          <w:sz w:val="20"/>
          <w:szCs w:val="20"/>
          <w:lang w:val="en-US"/>
        </w:rPr>
        <w:t xml:space="preserve">the concentration range from 0.1 mg/mL to 0.01 mg/mL </w:t>
      </w:r>
      <w:r w:rsidRPr="00DA7A2E">
        <w:rPr>
          <w:rFonts w:ascii="Arial" w:hAnsi="Arial" w:cs="Arial"/>
          <w:sz w:val="20"/>
          <w:szCs w:val="20"/>
          <w:lang w:val="en-US"/>
        </w:rPr>
        <w:t>presented as mean ± SD</w:t>
      </w:r>
      <w:r w:rsidR="00E62234" w:rsidRPr="00DA7A2E">
        <w:rPr>
          <w:rFonts w:ascii="Arial" w:hAnsi="Arial" w:cs="Arial"/>
          <w:sz w:val="20"/>
          <w:szCs w:val="20"/>
          <w:lang w:val="en-US"/>
        </w:rPr>
        <w:t xml:space="preserve"> (n=11-17). after standard incubation (1 hour, 37°C)</w:t>
      </w:r>
      <w:r w:rsidRPr="00DA7A2E">
        <w:rPr>
          <w:rFonts w:ascii="Arial" w:hAnsi="Arial" w:cs="Arial"/>
          <w:sz w:val="20"/>
          <w:szCs w:val="20"/>
          <w:lang w:val="en-US"/>
        </w:rPr>
        <w:t xml:space="preserve"> Hemolysis for negative control (PBS buffer) was equal to </w:t>
      </w:r>
      <w:r w:rsidRPr="00DA7A2E">
        <w:rPr>
          <w:rFonts w:ascii="Arial" w:hAnsi="Arial" w:cs="Arial"/>
          <w:b/>
          <w:bCs/>
          <w:sz w:val="20"/>
          <w:szCs w:val="20"/>
          <w:lang w:val="en-US"/>
        </w:rPr>
        <w:t>3.14 ± 0.14</w:t>
      </w:r>
      <w:r w:rsidRPr="00DA7A2E">
        <w:rPr>
          <w:rFonts w:ascii="Arial" w:hAnsi="Arial" w:cs="Arial"/>
          <w:sz w:val="20"/>
          <w:szCs w:val="20"/>
          <w:lang w:val="en-US"/>
        </w:rPr>
        <w:t xml:space="preserve"> </w:t>
      </w:r>
    </w:p>
    <w:tbl>
      <w:tblPr>
        <w:tblStyle w:val="TableGrid"/>
        <w:tblW w:w="0" w:type="auto"/>
        <w:tblLook w:val="04A0" w:firstRow="1" w:lastRow="0" w:firstColumn="1" w:lastColumn="0" w:noHBand="0" w:noVBand="1"/>
      </w:tblPr>
      <w:tblGrid>
        <w:gridCol w:w="1420"/>
        <w:gridCol w:w="2047"/>
        <w:gridCol w:w="2339"/>
        <w:gridCol w:w="2046"/>
      </w:tblGrid>
      <w:tr w:rsidR="00A122C9" w:rsidRPr="00D20CD8" w14:paraId="086C0833" w14:textId="77777777" w:rsidTr="003A243F">
        <w:trPr>
          <w:trHeight w:val="290"/>
        </w:trPr>
        <w:tc>
          <w:tcPr>
            <w:tcW w:w="1420" w:type="dxa"/>
          </w:tcPr>
          <w:p w14:paraId="2D382EA7" w14:textId="77777777" w:rsidR="00A122C9" w:rsidRPr="00D20CD8" w:rsidRDefault="00A122C9" w:rsidP="003A243F">
            <w:pPr>
              <w:jc w:val="center"/>
              <w:rPr>
                <w:rFonts w:ascii="Arial" w:hAnsi="Arial" w:cs="Arial"/>
                <w:b/>
                <w:bCs/>
                <w:lang w:val="en-US"/>
              </w:rPr>
            </w:pPr>
            <w:r w:rsidRPr="00D20CD8">
              <w:rPr>
                <w:rFonts w:ascii="Arial" w:hAnsi="Arial" w:cs="Arial"/>
                <w:b/>
                <w:bCs/>
                <w:lang w:val="en-US"/>
              </w:rPr>
              <w:t>Compound</w:t>
            </w:r>
          </w:p>
        </w:tc>
        <w:tc>
          <w:tcPr>
            <w:tcW w:w="2047" w:type="dxa"/>
          </w:tcPr>
          <w:p w14:paraId="5F62777C" w14:textId="77777777" w:rsidR="00A122C9" w:rsidRPr="00D20CD8" w:rsidRDefault="00A122C9" w:rsidP="003A243F">
            <w:pPr>
              <w:jc w:val="center"/>
              <w:rPr>
                <w:rFonts w:ascii="Arial" w:hAnsi="Arial" w:cs="Arial"/>
                <w:b/>
                <w:bCs/>
                <w:lang w:val="en-US"/>
              </w:rPr>
            </w:pPr>
            <w:r w:rsidRPr="00D20CD8">
              <w:rPr>
                <w:rFonts w:ascii="Arial" w:hAnsi="Arial" w:cs="Arial"/>
                <w:b/>
                <w:bCs/>
                <w:lang w:val="en-US"/>
              </w:rPr>
              <w:t>0.1 mg/mL</w:t>
            </w:r>
          </w:p>
        </w:tc>
        <w:tc>
          <w:tcPr>
            <w:tcW w:w="2339" w:type="dxa"/>
          </w:tcPr>
          <w:p w14:paraId="5F8EC070" w14:textId="77777777" w:rsidR="00A122C9" w:rsidRPr="00D20CD8" w:rsidRDefault="00A122C9" w:rsidP="003A243F">
            <w:pPr>
              <w:jc w:val="center"/>
              <w:rPr>
                <w:rFonts w:ascii="Arial" w:hAnsi="Arial" w:cs="Arial"/>
                <w:b/>
                <w:bCs/>
                <w:lang w:val="en-US"/>
              </w:rPr>
            </w:pPr>
            <w:r w:rsidRPr="00D20CD8">
              <w:rPr>
                <w:rFonts w:ascii="Arial" w:hAnsi="Arial" w:cs="Arial"/>
                <w:b/>
                <w:bCs/>
                <w:lang w:val="en-US"/>
              </w:rPr>
              <w:t>0.05 mg/mL</w:t>
            </w:r>
          </w:p>
        </w:tc>
        <w:tc>
          <w:tcPr>
            <w:tcW w:w="2046" w:type="dxa"/>
          </w:tcPr>
          <w:p w14:paraId="02797437" w14:textId="77777777" w:rsidR="00A122C9" w:rsidRPr="00D20CD8" w:rsidRDefault="00A122C9" w:rsidP="003A243F">
            <w:pPr>
              <w:jc w:val="center"/>
              <w:rPr>
                <w:rFonts w:ascii="Arial" w:hAnsi="Arial" w:cs="Arial"/>
                <w:b/>
                <w:bCs/>
                <w:lang w:val="en-US"/>
              </w:rPr>
            </w:pPr>
            <w:r w:rsidRPr="00D20CD8">
              <w:rPr>
                <w:rFonts w:ascii="Arial" w:hAnsi="Arial" w:cs="Arial"/>
                <w:b/>
                <w:bCs/>
                <w:lang w:val="en-US"/>
              </w:rPr>
              <w:t>0.01 mg/mL</w:t>
            </w:r>
          </w:p>
        </w:tc>
      </w:tr>
      <w:tr w:rsidR="00A122C9" w:rsidRPr="00D20CD8" w14:paraId="76E45D46" w14:textId="77777777" w:rsidTr="003A243F">
        <w:trPr>
          <w:trHeight w:val="273"/>
        </w:trPr>
        <w:tc>
          <w:tcPr>
            <w:tcW w:w="1420" w:type="dxa"/>
          </w:tcPr>
          <w:p w14:paraId="33833212" w14:textId="77777777" w:rsidR="00A122C9" w:rsidRPr="00D20CD8" w:rsidRDefault="00A122C9" w:rsidP="003A243F">
            <w:pPr>
              <w:jc w:val="center"/>
              <w:rPr>
                <w:rFonts w:ascii="Arial" w:hAnsi="Arial" w:cs="Arial"/>
                <w:lang w:val="en-US"/>
              </w:rPr>
            </w:pPr>
            <w:r w:rsidRPr="00D20CD8">
              <w:rPr>
                <w:rFonts w:ascii="Arial" w:hAnsi="Arial" w:cs="Arial"/>
                <w:lang w:val="en-US"/>
              </w:rPr>
              <w:t>1</w:t>
            </w:r>
          </w:p>
        </w:tc>
        <w:tc>
          <w:tcPr>
            <w:tcW w:w="2047" w:type="dxa"/>
          </w:tcPr>
          <w:p w14:paraId="4B24A715" w14:textId="77777777" w:rsidR="00A122C9" w:rsidRPr="00D20CD8" w:rsidRDefault="00A122C9" w:rsidP="003A243F">
            <w:pPr>
              <w:jc w:val="center"/>
              <w:rPr>
                <w:rFonts w:ascii="Arial" w:hAnsi="Arial" w:cs="Arial"/>
                <w:lang w:val="en-US"/>
              </w:rPr>
            </w:pPr>
            <w:r w:rsidRPr="00D20CD8">
              <w:rPr>
                <w:rFonts w:ascii="Arial" w:hAnsi="Arial" w:cs="Arial"/>
                <w:lang w:val="en-US"/>
              </w:rPr>
              <w:t>9.57 ± 3.99</w:t>
            </w:r>
          </w:p>
        </w:tc>
        <w:tc>
          <w:tcPr>
            <w:tcW w:w="2339" w:type="dxa"/>
          </w:tcPr>
          <w:p w14:paraId="582AB751" w14:textId="77777777" w:rsidR="00A122C9" w:rsidRPr="00D20CD8" w:rsidRDefault="00A122C9" w:rsidP="003A243F">
            <w:pPr>
              <w:jc w:val="center"/>
              <w:rPr>
                <w:rFonts w:ascii="Arial" w:hAnsi="Arial" w:cs="Arial"/>
                <w:lang w:val="en-US"/>
              </w:rPr>
            </w:pPr>
            <w:r w:rsidRPr="00D20CD8">
              <w:rPr>
                <w:rFonts w:ascii="Arial" w:hAnsi="Arial" w:cs="Arial"/>
                <w:lang w:val="en-US"/>
              </w:rPr>
              <w:t>5.60 ± 2.09</w:t>
            </w:r>
          </w:p>
        </w:tc>
        <w:tc>
          <w:tcPr>
            <w:tcW w:w="2046" w:type="dxa"/>
          </w:tcPr>
          <w:p w14:paraId="79C7891F" w14:textId="77777777" w:rsidR="00A122C9" w:rsidRPr="00D20CD8" w:rsidRDefault="00A122C9" w:rsidP="003A243F">
            <w:pPr>
              <w:jc w:val="center"/>
              <w:rPr>
                <w:rFonts w:ascii="Arial" w:hAnsi="Arial" w:cs="Arial"/>
                <w:lang w:val="en-US"/>
              </w:rPr>
            </w:pPr>
            <w:r w:rsidRPr="00D20CD8">
              <w:rPr>
                <w:rFonts w:ascii="Arial" w:hAnsi="Arial" w:cs="Arial"/>
                <w:lang w:val="en-US"/>
              </w:rPr>
              <w:t>4.13 ± 1.13</w:t>
            </w:r>
          </w:p>
        </w:tc>
      </w:tr>
      <w:tr w:rsidR="00A122C9" w:rsidRPr="00D20CD8" w14:paraId="04831137" w14:textId="77777777" w:rsidTr="003A243F">
        <w:trPr>
          <w:trHeight w:val="290"/>
        </w:trPr>
        <w:tc>
          <w:tcPr>
            <w:tcW w:w="1420" w:type="dxa"/>
          </w:tcPr>
          <w:p w14:paraId="31DB3FBD" w14:textId="77777777" w:rsidR="00A122C9" w:rsidRPr="00D20CD8" w:rsidRDefault="00A122C9" w:rsidP="003A243F">
            <w:pPr>
              <w:jc w:val="center"/>
              <w:rPr>
                <w:rFonts w:ascii="Arial" w:hAnsi="Arial" w:cs="Arial"/>
                <w:lang w:val="en-US"/>
              </w:rPr>
            </w:pPr>
            <w:r w:rsidRPr="00D20CD8">
              <w:rPr>
                <w:rFonts w:ascii="Arial" w:hAnsi="Arial" w:cs="Arial"/>
                <w:lang w:val="en-US"/>
              </w:rPr>
              <w:t>2</w:t>
            </w:r>
          </w:p>
        </w:tc>
        <w:tc>
          <w:tcPr>
            <w:tcW w:w="2047" w:type="dxa"/>
          </w:tcPr>
          <w:p w14:paraId="4329127F" w14:textId="77777777" w:rsidR="00A122C9" w:rsidRPr="00D20CD8" w:rsidRDefault="00A122C9" w:rsidP="003A243F">
            <w:pPr>
              <w:jc w:val="center"/>
              <w:rPr>
                <w:rFonts w:ascii="Arial" w:hAnsi="Arial" w:cs="Arial"/>
                <w:lang w:val="en-US"/>
              </w:rPr>
            </w:pPr>
            <w:r w:rsidRPr="00D20CD8">
              <w:rPr>
                <w:rFonts w:ascii="Arial" w:hAnsi="Arial" w:cs="Arial"/>
                <w:lang w:val="en-US"/>
              </w:rPr>
              <w:t>16.71 ± 6.65</w:t>
            </w:r>
          </w:p>
        </w:tc>
        <w:tc>
          <w:tcPr>
            <w:tcW w:w="2339" w:type="dxa"/>
          </w:tcPr>
          <w:p w14:paraId="19B76E00" w14:textId="77777777" w:rsidR="00A122C9" w:rsidRPr="00D20CD8" w:rsidRDefault="00A122C9" w:rsidP="003A243F">
            <w:pPr>
              <w:jc w:val="center"/>
              <w:rPr>
                <w:rFonts w:ascii="Arial" w:hAnsi="Arial" w:cs="Arial"/>
                <w:lang w:val="en-US"/>
              </w:rPr>
            </w:pPr>
            <w:r w:rsidRPr="00D20CD8">
              <w:rPr>
                <w:rFonts w:ascii="Arial" w:hAnsi="Arial" w:cs="Arial"/>
                <w:lang w:val="en-US"/>
              </w:rPr>
              <w:t>10.97 ± 3.98</w:t>
            </w:r>
          </w:p>
        </w:tc>
        <w:tc>
          <w:tcPr>
            <w:tcW w:w="2046" w:type="dxa"/>
          </w:tcPr>
          <w:p w14:paraId="2D03C400" w14:textId="77777777" w:rsidR="00A122C9" w:rsidRPr="00D20CD8" w:rsidRDefault="00A122C9" w:rsidP="003A243F">
            <w:pPr>
              <w:jc w:val="center"/>
              <w:rPr>
                <w:rFonts w:ascii="Arial" w:hAnsi="Arial" w:cs="Arial"/>
                <w:lang w:val="en-US"/>
              </w:rPr>
            </w:pPr>
            <w:r w:rsidRPr="00D20CD8">
              <w:rPr>
                <w:rFonts w:ascii="Arial" w:hAnsi="Arial" w:cs="Arial"/>
                <w:lang w:val="en-US"/>
              </w:rPr>
              <w:t>4.89 ± 1.24</w:t>
            </w:r>
          </w:p>
        </w:tc>
      </w:tr>
      <w:tr w:rsidR="00A122C9" w:rsidRPr="00D20CD8" w14:paraId="01F56BD7" w14:textId="77777777" w:rsidTr="003A243F">
        <w:trPr>
          <w:trHeight w:val="273"/>
        </w:trPr>
        <w:tc>
          <w:tcPr>
            <w:tcW w:w="1420" w:type="dxa"/>
          </w:tcPr>
          <w:p w14:paraId="33381CF5" w14:textId="77777777" w:rsidR="00A122C9" w:rsidRPr="00D20CD8" w:rsidRDefault="00A122C9" w:rsidP="003A243F">
            <w:pPr>
              <w:jc w:val="center"/>
              <w:rPr>
                <w:rFonts w:ascii="Arial" w:hAnsi="Arial" w:cs="Arial"/>
                <w:lang w:val="en-US"/>
              </w:rPr>
            </w:pPr>
            <w:r w:rsidRPr="00D20CD8">
              <w:rPr>
                <w:rFonts w:ascii="Arial" w:hAnsi="Arial" w:cs="Arial"/>
                <w:lang w:val="en-US"/>
              </w:rPr>
              <w:t>3</w:t>
            </w:r>
          </w:p>
        </w:tc>
        <w:tc>
          <w:tcPr>
            <w:tcW w:w="2047" w:type="dxa"/>
          </w:tcPr>
          <w:p w14:paraId="0ABBC2C4" w14:textId="77777777" w:rsidR="00A122C9" w:rsidRPr="00D20CD8" w:rsidRDefault="00A122C9" w:rsidP="003A243F">
            <w:pPr>
              <w:jc w:val="center"/>
              <w:rPr>
                <w:rFonts w:ascii="Arial" w:hAnsi="Arial" w:cs="Arial"/>
                <w:lang w:val="en-US"/>
              </w:rPr>
            </w:pPr>
            <w:r w:rsidRPr="00D20CD8">
              <w:rPr>
                <w:rFonts w:ascii="Arial" w:hAnsi="Arial" w:cs="Arial"/>
                <w:lang w:val="en-US"/>
              </w:rPr>
              <w:t>17.36 ± 6.60</w:t>
            </w:r>
          </w:p>
        </w:tc>
        <w:tc>
          <w:tcPr>
            <w:tcW w:w="2339" w:type="dxa"/>
          </w:tcPr>
          <w:p w14:paraId="602B91EC" w14:textId="77777777" w:rsidR="00A122C9" w:rsidRPr="00D20CD8" w:rsidRDefault="00A122C9" w:rsidP="003A243F">
            <w:pPr>
              <w:jc w:val="center"/>
              <w:rPr>
                <w:rFonts w:ascii="Arial" w:hAnsi="Arial" w:cs="Arial"/>
                <w:lang w:val="en-US"/>
              </w:rPr>
            </w:pPr>
            <w:r w:rsidRPr="00D20CD8">
              <w:rPr>
                <w:rFonts w:ascii="Arial" w:hAnsi="Arial" w:cs="Arial"/>
                <w:lang w:val="en-US"/>
              </w:rPr>
              <w:t>8.44 ± 2.47</w:t>
            </w:r>
          </w:p>
        </w:tc>
        <w:tc>
          <w:tcPr>
            <w:tcW w:w="2046" w:type="dxa"/>
          </w:tcPr>
          <w:p w14:paraId="0289F7D6" w14:textId="77777777" w:rsidR="00A122C9" w:rsidRPr="00D20CD8" w:rsidRDefault="00A122C9" w:rsidP="003A243F">
            <w:pPr>
              <w:jc w:val="center"/>
              <w:rPr>
                <w:rFonts w:ascii="Arial" w:hAnsi="Arial" w:cs="Arial"/>
                <w:lang w:val="en-US"/>
              </w:rPr>
            </w:pPr>
            <w:r w:rsidRPr="00D20CD8">
              <w:rPr>
                <w:rFonts w:ascii="Arial" w:hAnsi="Arial" w:cs="Arial"/>
                <w:lang w:val="en-US"/>
              </w:rPr>
              <w:t>4.84 ± 0.84</w:t>
            </w:r>
          </w:p>
        </w:tc>
      </w:tr>
      <w:tr w:rsidR="00A122C9" w:rsidRPr="00D20CD8" w14:paraId="60D7E7AD" w14:textId="77777777" w:rsidTr="003A243F">
        <w:trPr>
          <w:trHeight w:val="273"/>
        </w:trPr>
        <w:tc>
          <w:tcPr>
            <w:tcW w:w="1420" w:type="dxa"/>
          </w:tcPr>
          <w:p w14:paraId="3F36D932" w14:textId="77777777" w:rsidR="00A122C9" w:rsidRPr="00D20CD8" w:rsidRDefault="00A122C9" w:rsidP="008A781C">
            <w:pPr>
              <w:jc w:val="center"/>
              <w:rPr>
                <w:rFonts w:ascii="Arial" w:hAnsi="Arial" w:cs="Arial"/>
                <w:lang w:val="en-US"/>
              </w:rPr>
            </w:pPr>
            <w:r w:rsidRPr="00D20CD8">
              <w:rPr>
                <w:rFonts w:ascii="Arial" w:hAnsi="Arial" w:cs="Arial"/>
                <w:lang w:val="en-US"/>
              </w:rPr>
              <w:t>4</w:t>
            </w:r>
          </w:p>
        </w:tc>
        <w:tc>
          <w:tcPr>
            <w:tcW w:w="2047" w:type="dxa"/>
          </w:tcPr>
          <w:p w14:paraId="36372595" w14:textId="77777777" w:rsidR="00A122C9" w:rsidRPr="00D20CD8" w:rsidRDefault="00A122C9" w:rsidP="003A243F">
            <w:pPr>
              <w:jc w:val="center"/>
              <w:rPr>
                <w:rFonts w:ascii="Arial" w:hAnsi="Arial" w:cs="Arial"/>
                <w:lang w:val="en-US"/>
              </w:rPr>
            </w:pPr>
            <w:r w:rsidRPr="00D20CD8">
              <w:rPr>
                <w:rFonts w:ascii="Arial" w:hAnsi="Arial" w:cs="Arial"/>
                <w:lang w:val="en-US"/>
              </w:rPr>
              <w:t>8.79 ± 2.21</w:t>
            </w:r>
          </w:p>
        </w:tc>
        <w:tc>
          <w:tcPr>
            <w:tcW w:w="2339" w:type="dxa"/>
          </w:tcPr>
          <w:p w14:paraId="7CA98FD4" w14:textId="77777777" w:rsidR="00A122C9" w:rsidRPr="00D20CD8" w:rsidRDefault="00A122C9" w:rsidP="003A243F">
            <w:pPr>
              <w:jc w:val="center"/>
              <w:rPr>
                <w:rFonts w:ascii="Arial" w:hAnsi="Arial" w:cs="Arial"/>
                <w:lang w:val="en-US"/>
              </w:rPr>
            </w:pPr>
            <w:r w:rsidRPr="00D20CD8">
              <w:rPr>
                <w:rFonts w:ascii="Arial" w:hAnsi="Arial" w:cs="Arial"/>
                <w:lang w:val="en-US"/>
              </w:rPr>
              <w:t>4.92 ± 0.45</w:t>
            </w:r>
          </w:p>
        </w:tc>
        <w:tc>
          <w:tcPr>
            <w:tcW w:w="2046" w:type="dxa"/>
          </w:tcPr>
          <w:p w14:paraId="0FFFBBE5" w14:textId="77777777" w:rsidR="00A122C9" w:rsidRPr="00D20CD8" w:rsidRDefault="00A122C9" w:rsidP="003A243F">
            <w:pPr>
              <w:jc w:val="center"/>
              <w:rPr>
                <w:rFonts w:ascii="Arial" w:hAnsi="Arial" w:cs="Arial"/>
                <w:lang w:val="en-US"/>
              </w:rPr>
            </w:pPr>
            <w:r w:rsidRPr="00D20CD8">
              <w:rPr>
                <w:rFonts w:ascii="Arial" w:hAnsi="Arial" w:cs="Arial"/>
                <w:lang w:val="en-US"/>
              </w:rPr>
              <w:t>4.34 ± 0.54</w:t>
            </w:r>
          </w:p>
        </w:tc>
      </w:tr>
    </w:tbl>
    <w:p w14:paraId="55DFCD7C" w14:textId="77777777" w:rsidR="00A122C9" w:rsidRDefault="00A122C9" w:rsidP="00A122C9">
      <w:pPr>
        <w:jc w:val="both"/>
        <w:rPr>
          <w:rFonts w:ascii="Arial" w:hAnsi="Arial" w:cs="Arial"/>
          <w:b/>
          <w:bCs/>
          <w:lang w:val="en-US"/>
        </w:rPr>
      </w:pPr>
    </w:p>
    <w:p w14:paraId="05DAEEA2" w14:textId="77777777" w:rsidR="00DA7A2E" w:rsidRPr="00D20CD8" w:rsidRDefault="00DA7A2E" w:rsidP="00A122C9">
      <w:pPr>
        <w:jc w:val="both"/>
        <w:rPr>
          <w:rFonts w:ascii="Arial" w:hAnsi="Arial" w:cs="Arial"/>
          <w:b/>
          <w:bCs/>
          <w:lang w:val="en-US"/>
        </w:rPr>
      </w:pPr>
    </w:p>
    <w:p w14:paraId="3B01757F" w14:textId="77777777" w:rsidR="00A122C9" w:rsidRPr="00D20CD8" w:rsidRDefault="00A122C9" w:rsidP="00A122C9">
      <w:pPr>
        <w:jc w:val="both"/>
        <w:rPr>
          <w:rFonts w:ascii="Arial" w:hAnsi="Arial" w:cs="Arial"/>
          <w:b/>
          <w:bCs/>
          <w:lang w:val="en-US"/>
        </w:rPr>
      </w:pPr>
      <w:r w:rsidRPr="00D20CD8">
        <w:rPr>
          <w:rFonts w:ascii="Arial" w:hAnsi="Arial" w:cs="Arial"/>
          <w:noProof/>
          <w:lang w:eastAsia="pl-PL"/>
        </w:rPr>
        <w:drawing>
          <wp:inline distT="0" distB="0" distL="0" distR="0" wp14:anchorId="45B809CA" wp14:editId="405C559C">
            <wp:extent cx="4040252" cy="2468598"/>
            <wp:effectExtent l="19050" t="0" r="0" b="0"/>
            <wp:docPr id="4" name="Obraz 4"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wykres&#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9001" cy="2473944"/>
                    </a:xfrm>
                    <a:prstGeom prst="rect">
                      <a:avLst/>
                    </a:prstGeom>
                    <a:noFill/>
                    <a:ln>
                      <a:noFill/>
                    </a:ln>
                  </pic:spPr>
                </pic:pic>
              </a:graphicData>
            </a:graphic>
          </wp:inline>
        </w:drawing>
      </w:r>
    </w:p>
    <w:p w14:paraId="42056F44" w14:textId="47323CBC" w:rsidR="00A122C9" w:rsidRPr="00DA7A2E" w:rsidRDefault="00A122C9" w:rsidP="00A122C9">
      <w:pPr>
        <w:jc w:val="both"/>
        <w:rPr>
          <w:rFonts w:ascii="Arial" w:hAnsi="Arial" w:cs="Arial"/>
          <w:sz w:val="20"/>
          <w:szCs w:val="20"/>
          <w:lang w:val="en-US"/>
        </w:rPr>
      </w:pPr>
      <w:r w:rsidRPr="00DA7A2E">
        <w:rPr>
          <w:rFonts w:ascii="Arial" w:hAnsi="Arial" w:cs="Arial"/>
          <w:b/>
          <w:bCs/>
          <w:sz w:val="20"/>
          <w:szCs w:val="20"/>
          <w:lang w:val="en-US"/>
        </w:rPr>
        <w:t>Fig</w:t>
      </w:r>
      <w:r w:rsidRPr="00DA7A2E">
        <w:rPr>
          <w:rFonts w:ascii="Arial" w:hAnsi="Arial" w:cs="Arial"/>
          <w:sz w:val="20"/>
          <w:szCs w:val="20"/>
          <w:lang w:val="en-US"/>
        </w:rPr>
        <w:t>.</w:t>
      </w:r>
      <w:r w:rsidR="008A781C" w:rsidRPr="00DA7A2E">
        <w:rPr>
          <w:rFonts w:ascii="Arial" w:hAnsi="Arial" w:cs="Arial"/>
          <w:sz w:val="20"/>
          <w:szCs w:val="20"/>
          <w:lang w:val="en-US"/>
        </w:rPr>
        <w:t xml:space="preserve"> </w:t>
      </w:r>
      <w:r w:rsidR="00284B01">
        <w:rPr>
          <w:rFonts w:ascii="Arial" w:hAnsi="Arial" w:cs="Arial"/>
          <w:b/>
          <w:bCs/>
          <w:sz w:val="20"/>
          <w:szCs w:val="20"/>
          <w:lang w:val="en-US"/>
        </w:rPr>
        <w:t>S5</w:t>
      </w:r>
      <w:r w:rsidR="008A781C" w:rsidRPr="00DA7A2E">
        <w:rPr>
          <w:rFonts w:ascii="Arial" w:hAnsi="Arial" w:cs="Arial"/>
          <w:b/>
          <w:bCs/>
          <w:sz w:val="20"/>
          <w:szCs w:val="20"/>
          <w:lang w:val="en-US"/>
        </w:rPr>
        <w:t>.</w:t>
      </w:r>
      <w:r w:rsidRPr="00DA7A2E">
        <w:rPr>
          <w:rFonts w:ascii="Arial" w:hAnsi="Arial" w:cs="Arial"/>
          <w:sz w:val="20"/>
          <w:szCs w:val="20"/>
          <w:lang w:val="en-US"/>
        </w:rPr>
        <w:t xml:space="preserve"> Hemolytic activity (%) of compounds 1-4 at different concentrations (mg/mL) after 1 hour incubation at 37°C. Hemolysis calculated for a negative control (RBC in PBS buffer, 0 mg/mL) is also presented. </w:t>
      </w:r>
      <w:r w:rsidRPr="00DA7A2E">
        <w:rPr>
          <w:rFonts w:ascii="Arial" w:hAnsi="Arial" w:cs="Arial"/>
          <w:kern w:val="0"/>
          <w:sz w:val="20"/>
          <w:szCs w:val="20"/>
          <w:lang w:val="en-US"/>
        </w:rPr>
        <w:t>The red line is plotted for a hemolysis threshold of 5%</w:t>
      </w:r>
      <w:r w:rsidR="008A781C" w:rsidRPr="00DA7A2E">
        <w:rPr>
          <w:rFonts w:ascii="Arial" w:hAnsi="Arial" w:cs="Arial"/>
          <w:kern w:val="0"/>
          <w:sz w:val="20"/>
          <w:szCs w:val="20"/>
          <w:lang w:val="en-US"/>
        </w:rPr>
        <w:t>. H</w:t>
      </w:r>
      <w:r w:rsidRPr="00DA7A2E">
        <w:rPr>
          <w:rFonts w:ascii="Arial" w:hAnsi="Arial" w:cs="Arial"/>
          <w:kern w:val="0"/>
          <w:sz w:val="20"/>
          <w:szCs w:val="20"/>
          <w:lang w:val="en-US"/>
        </w:rPr>
        <w:t xml:space="preserve">emolysis </w:t>
      </w:r>
      <w:r w:rsidR="008A781C" w:rsidRPr="00DA7A2E">
        <w:rPr>
          <w:rFonts w:ascii="Arial" w:hAnsi="Arial" w:cs="Arial"/>
          <w:kern w:val="0"/>
          <w:sz w:val="20"/>
          <w:szCs w:val="20"/>
          <w:lang w:val="en-US"/>
        </w:rPr>
        <w:t xml:space="preserve">activity </w:t>
      </w:r>
      <w:r w:rsidRPr="00DA7A2E">
        <w:rPr>
          <w:rFonts w:ascii="Arial" w:hAnsi="Arial" w:cs="Arial"/>
          <w:kern w:val="0"/>
          <w:sz w:val="20"/>
          <w:szCs w:val="20"/>
          <w:lang w:val="en-US"/>
        </w:rPr>
        <w:t>higher than 5% indicates a membrane-perturbing activity of the compound</w:t>
      </w:r>
      <w:r w:rsidR="008A781C" w:rsidRPr="00DA7A2E">
        <w:rPr>
          <w:rFonts w:ascii="Arial" w:hAnsi="Arial" w:cs="Arial"/>
          <w:kern w:val="0"/>
          <w:sz w:val="20"/>
          <w:szCs w:val="20"/>
          <w:lang w:val="en-US"/>
        </w:rPr>
        <w:t xml:space="preserve"> and its cytotoxic properties</w:t>
      </w:r>
      <w:r w:rsidRPr="00DA7A2E">
        <w:rPr>
          <w:rFonts w:ascii="Arial" w:hAnsi="Arial" w:cs="Arial"/>
          <w:kern w:val="0"/>
          <w:sz w:val="20"/>
          <w:szCs w:val="20"/>
          <w:lang w:val="en-US"/>
        </w:rPr>
        <w:t>. Values are presented as mean ± SD (n=</w:t>
      </w:r>
      <w:r w:rsidR="00E62234" w:rsidRPr="00DA7A2E">
        <w:rPr>
          <w:rFonts w:ascii="Arial" w:hAnsi="Arial" w:cs="Arial"/>
          <w:kern w:val="0"/>
          <w:sz w:val="20"/>
          <w:szCs w:val="20"/>
          <w:lang w:val="en-US"/>
        </w:rPr>
        <w:t>11</w:t>
      </w:r>
      <w:r w:rsidRPr="00DA7A2E">
        <w:rPr>
          <w:rFonts w:ascii="Arial" w:hAnsi="Arial" w:cs="Arial"/>
          <w:kern w:val="0"/>
          <w:sz w:val="20"/>
          <w:szCs w:val="20"/>
          <w:lang w:val="en-US"/>
        </w:rPr>
        <w:t xml:space="preserve">-17) </w:t>
      </w:r>
    </w:p>
    <w:p w14:paraId="658A4D48" w14:textId="77777777" w:rsidR="00662B25" w:rsidRPr="00D20CD8" w:rsidRDefault="001E6951" w:rsidP="00BB3F99">
      <w:pPr>
        <w:rPr>
          <w:rFonts w:ascii="Arial" w:hAnsi="Arial" w:cs="Arial"/>
          <w:b/>
          <w:bCs/>
          <w:lang w:val="en-US"/>
        </w:rPr>
      </w:pPr>
      <w:r>
        <w:rPr>
          <w:rFonts w:ascii="Arial" w:hAnsi="Arial" w:cs="Arial"/>
          <w:b/>
          <w:bCs/>
          <w:lang w:val="en-US"/>
        </w:rPr>
        <w:t xml:space="preserve">2. </w:t>
      </w:r>
      <w:r w:rsidR="00662B25" w:rsidRPr="00D20CD8">
        <w:rPr>
          <w:rFonts w:ascii="Arial" w:hAnsi="Arial" w:cs="Arial"/>
          <w:b/>
          <w:bCs/>
          <w:lang w:val="en-US"/>
        </w:rPr>
        <w:t>Cytoprotective activity</w:t>
      </w:r>
      <w:r w:rsidR="005615FB">
        <w:rPr>
          <w:rFonts w:ascii="Arial" w:hAnsi="Arial" w:cs="Arial"/>
          <w:b/>
          <w:bCs/>
          <w:lang w:val="en-US"/>
        </w:rPr>
        <w:t xml:space="preserve"> under oxidative stress conditions</w:t>
      </w:r>
    </w:p>
    <w:p w14:paraId="05C3AB3C" w14:textId="77777777" w:rsidR="000953A8" w:rsidRPr="008555AE" w:rsidRDefault="008555AE" w:rsidP="008555AE">
      <w:pPr>
        <w:jc w:val="both"/>
        <w:rPr>
          <w:rFonts w:ascii="Arial" w:hAnsi="Arial" w:cs="Arial"/>
          <w:lang w:val="en-US"/>
        </w:rPr>
      </w:pPr>
      <w:r>
        <w:rPr>
          <w:rFonts w:ascii="Arial" w:hAnsi="Arial" w:cs="Arial"/>
          <w:lang w:val="en-US"/>
        </w:rPr>
        <w:t>- c</w:t>
      </w:r>
      <w:r w:rsidRPr="008555AE">
        <w:rPr>
          <w:rFonts w:ascii="Arial" w:hAnsi="Arial" w:cs="Arial"/>
          <w:lang w:val="en-US"/>
        </w:rPr>
        <w:t xml:space="preserve">ytoprotective activity of compounds was evaluated at </w:t>
      </w:r>
      <w:r w:rsidR="000953A8" w:rsidRPr="008555AE">
        <w:rPr>
          <w:rFonts w:ascii="Arial" w:hAnsi="Arial" w:cs="Arial"/>
          <w:lang w:val="en-US"/>
        </w:rPr>
        <w:t xml:space="preserve">their </w:t>
      </w:r>
      <w:proofErr w:type="spellStart"/>
      <w:r w:rsidR="008A781C" w:rsidRPr="008555AE">
        <w:rPr>
          <w:rFonts w:ascii="Arial" w:hAnsi="Arial" w:cs="Arial"/>
          <w:lang w:val="en-US"/>
        </w:rPr>
        <w:t>sublytic</w:t>
      </w:r>
      <w:proofErr w:type="spellEnd"/>
      <w:r w:rsidR="008A781C" w:rsidRPr="008555AE">
        <w:rPr>
          <w:rFonts w:ascii="Arial" w:hAnsi="Arial" w:cs="Arial"/>
          <w:lang w:val="en-US"/>
        </w:rPr>
        <w:t xml:space="preserve"> concentration </w:t>
      </w:r>
      <w:r w:rsidR="000953A8" w:rsidRPr="008555AE">
        <w:rPr>
          <w:rFonts w:ascii="Arial" w:hAnsi="Arial" w:cs="Arial"/>
          <w:lang w:val="en-US"/>
        </w:rPr>
        <w:t xml:space="preserve">equal to </w:t>
      </w:r>
      <w:r w:rsidR="008A781C" w:rsidRPr="008555AE">
        <w:rPr>
          <w:rFonts w:ascii="Arial" w:hAnsi="Arial" w:cs="Arial"/>
          <w:lang w:val="en-US"/>
        </w:rPr>
        <w:t>0.01 mg/</w:t>
      </w:r>
      <w:proofErr w:type="spellStart"/>
      <w:r w:rsidR="008A781C" w:rsidRPr="008555AE">
        <w:rPr>
          <w:rFonts w:ascii="Arial" w:hAnsi="Arial" w:cs="Arial"/>
          <w:lang w:val="en-US"/>
        </w:rPr>
        <w:t>mL.</w:t>
      </w:r>
      <w:proofErr w:type="spellEnd"/>
      <w:r w:rsidR="000953A8" w:rsidRPr="008555AE">
        <w:rPr>
          <w:rFonts w:ascii="Arial" w:hAnsi="Arial" w:cs="Arial"/>
          <w:lang w:val="en-US"/>
        </w:rPr>
        <w:t xml:space="preserve"> </w:t>
      </w:r>
    </w:p>
    <w:p w14:paraId="3E8CDBBD" w14:textId="77777777" w:rsidR="008A781C" w:rsidRPr="00D20CD8" w:rsidRDefault="008555AE" w:rsidP="00095D22">
      <w:pPr>
        <w:jc w:val="both"/>
        <w:rPr>
          <w:rFonts w:ascii="Arial" w:hAnsi="Arial" w:cs="Arial"/>
          <w:lang w:val="en-US"/>
        </w:rPr>
      </w:pPr>
      <w:r>
        <w:rPr>
          <w:rFonts w:ascii="Arial" w:hAnsi="Arial" w:cs="Arial"/>
          <w:lang w:val="en-US"/>
        </w:rPr>
        <w:t xml:space="preserve">- </w:t>
      </w:r>
      <w:proofErr w:type="spellStart"/>
      <w:r>
        <w:rPr>
          <w:rFonts w:ascii="Arial" w:hAnsi="Arial" w:cs="Arial"/>
          <w:lang w:val="en-US"/>
        </w:rPr>
        <w:t>c</w:t>
      </w:r>
      <w:r w:rsidR="00662B25" w:rsidRPr="00D20CD8">
        <w:rPr>
          <w:rFonts w:ascii="Arial" w:hAnsi="Arial" w:cs="Arial"/>
          <w:lang w:val="en-US"/>
        </w:rPr>
        <w:t>ytoprotecive</w:t>
      </w:r>
      <w:proofErr w:type="spellEnd"/>
      <w:r w:rsidR="00662B25" w:rsidRPr="00D20CD8">
        <w:rPr>
          <w:rFonts w:ascii="Arial" w:hAnsi="Arial" w:cs="Arial"/>
          <w:lang w:val="en-US"/>
        </w:rPr>
        <w:t xml:space="preserve"> activity </w:t>
      </w:r>
      <w:r w:rsidR="008A781C" w:rsidRPr="00D20CD8">
        <w:rPr>
          <w:rFonts w:ascii="Arial" w:hAnsi="Arial" w:cs="Arial"/>
          <w:lang w:val="en-US"/>
        </w:rPr>
        <w:t xml:space="preserve">of compounds 1-4 </w:t>
      </w:r>
      <w:r w:rsidR="00662B25" w:rsidRPr="00D20CD8">
        <w:rPr>
          <w:rFonts w:ascii="Arial" w:hAnsi="Arial" w:cs="Arial"/>
          <w:lang w:val="en-US"/>
        </w:rPr>
        <w:t>was evaluated in t</w:t>
      </w:r>
      <w:r w:rsidR="008A781C" w:rsidRPr="00D20CD8">
        <w:rPr>
          <w:rFonts w:ascii="Arial" w:hAnsi="Arial" w:cs="Arial"/>
          <w:lang w:val="en-US"/>
        </w:rPr>
        <w:t xml:space="preserve">wo </w:t>
      </w:r>
      <w:r w:rsidR="00662B25" w:rsidRPr="00D20CD8">
        <w:rPr>
          <w:rFonts w:ascii="Arial" w:hAnsi="Arial" w:cs="Arial"/>
          <w:lang w:val="en-US"/>
        </w:rPr>
        <w:t>different level</w:t>
      </w:r>
      <w:r w:rsidR="008A781C" w:rsidRPr="00D20CD8">
        <w:rPr>
          <w:rFonts w:ascii="Arial" w:hAnsi="Arial" w:cs="Arial"/>
          <w:lang w:val="en-US"/>
        </w:rPr>
        <w:t>s:</w:t>
      </w:r>
    </w:p>
    <w:p w14:paraId="3CD6AB51" w14:textId="77777777" w:rsidR="008A781C" w:rsidRPr="00D20CD8" w:rsidRDefault="008A781C" w:rsidP="008A781C">
      <w:pPr>
        <w:pStyle w:val="ListParagraph"/>
        <w:numPr>
          <w:ilvl w:val="0"/>
          <w:numId w:val="1"/>
        </w:numPr>
        <w:rPr>
          <w:rFonts w:ascii="Arial" w:hAnsi="Arial" w:cs="Arial"/>
          <w:lang w:val="en-US"/>
        </w:rPr>
      </w:pPr>
      <w:r w:rsidRPr="00D20CD8">
        <w:rPr>
          <w:rFonts w:ascii="Arial" w:hAnsi="Arial" w:cs="Arial"/>
          <w:lang w:val="en-US"/>
        </w:rPr>
        <w:t xml:space="preserve">cell </w:t>
      </w:r>
      <w:r w:rsidR="00662B25" w:rsidRPr="00D20CD8">
        <w:rPr>
          <w:rFonts w:ascii="Arial" w:hAnsi="Arial" w:cs="Arial"/>
          <w:lang w:val="en-US"/>
        </w:rPr>
        <w:t xml:space="preserve">membrane </w:t>
      </w:r>
      <w:r w:rsidR="005615FB">
        <w:rPr>
          <w:rFonts w:ascii="Arial" w:hAnsi="Arial" w:cs="Arial"/>
          <w:lang w:val="en-US"/>
        </w:rPr>
        <w:t xml:space="preserve">(oxidative hemolysis inhibition) </w:t>
      </w:r>
    </w:p>
    <w:p w14:paraId="12770B1C" w14:textId="77777777" w:rsidR="00662B25" w:rsidRPr="00D20CD8" w:rsidRDefault="00662B25" w:rsidP="008A781C">
      <w:pPr>
        <w:pStyle w:val="ListParagraph"/>
        <w:numPr>
          <w:ilvl w:val="0"/>
          <w:numId w:val="1"/>
        </w:numPr>
        <w:rPr>
          <w:rFonts w:ascii="Arial" w:hAnsi="Arial" w:cs="Arial"/>
          <w:lang w:val="en-US"/>
        </w:rPr>
      </w:pPr>
      <w:r w:rsidRPr="00D20CD8">
        <w:rPr>
          <w:rFonts w:ascii="Arial" w:hAnsi="Arial" w:cs="Arial"/>
          <w:lang w:val="en-US"/>
        </w:rPr>
        <w:t>hemoglobin (</w:t>
      </w:r>
      <w:r w:rsidR="005615FB">
        <w:rPr>
          <w:rFonts w:ascii="Arial" w:hAnsi="Arial" w:cs="Arial"/>
          <w:lang w:val="en-US"/>
        </w:rPr>
        <w:t>protection against oxidation into methemoglobin Fe</w:t>
      </w:r>
      <w:r w:rsidR="005615FB" w:rsidRPr="005615FB">
        <w:rPr>
          <w:rFonts w:ascii="Arial" w:hAnsi="Arial" w:cs="Arial"/>
          <w:vertAlign w:val="superscript"/>
          <w:lang w:val="en-US"/>
        </w:rPr>
        <w:t>3+</w:t>
      </w:r>
      <w:r w:rsidR="005615FB">
        <w:rPr>
          <w:rFonts w:ascii="Arial" w:hAnsi="Arial" w:cs="Arial"/>
          <w:lang w:val="en-US"/>
        </w:rPr>
        <w:t>)</w:t>
      </w:r>
      <w:r w:rsidRPr="00D20CD8">
        <w:rPr>
          <w:rFonts w:ascii="Arial" w:hAnsi="Arial" w:cs="Arial"/>
          <w:lang w:val="en-US"/>
        </w:rPr>
        <w:t xml:space="preserve">. </w:t>
      </w:r>
    </w:p>
    <w:p w14:paraId="7BF1EBFD" w14:textId="77777777" w:rsidR="008555AE" w:rsidRPr="008555AE" w:rsidRDefault="001E6951" w:rsidP="008555AE">
      <w:pPr>
        <w:jc w:val="both"/>
        <w:rPr>
          <w:rFonts w:ascii="Arial" w:hAnsi="Arial" w:cs="Arial"/>
          <w:i/>
          <w:iCs/>
          <w:lang w:val="en-US"/>
        </w:rPr>
      </w:pPr>
      <w:r>
        <w:rPr>
          <w:rFonts w:ascii="Arial" w:hAnsi="Arial" w:cs="Arial"/>
          <w:i/>
          <w:iCs/>
          <w:lang w:val="en-US"/>
        </w:rPr>
        <w:t xml:space="preserve">2.1. </w:t>
      </w:r>
      <w:r w:rsidR="008555AE">
        <w:rPr>
          <w:rFonts w:ascii="Arial" w:hAnsi="Arial" w:cs="Arial"/>
          <w:i/>
          <w:iCs/>
          <w:lang w:val="en-US"/>
        </w:rPr>
        <w:t>Cell m</w:t>
      </w:r>
      <w:r w:rsidR="008555AE" w:rsidRPr="008555AE">
        <w:rPr>
          <w:rFonts w:ascii="Arial" w:hAnsi="Arial" w:cs="Arial"/>
          <w:i/>
          <w:iCs/>
          <w:lang w:val="en-US"/>
        </w:rPr>
        <w:t>embrane level</w:t>
      </w:r>
    </w:p>
    <w:p w14:paraId="0AF7394E" w14:textId="7244806B" w:rsidR="008A781C" w:rsidRDefault="008555AE" w:rsidP="007A28EC">
      <w:pPr>
        <w:jc w:val="both"/>
        <w:rPr>
          <w:rFonts w:ascii="Arial" w:hAnsi="Arial" w:cs="Arial"/>
          <w:lang w:val="en-US"/>
        </w:rPr>
      </w:pPr>
      <w:r>
        <w:rPr>
          <w:rFonts w:ascii="Arial" w:hAnsi="Arial" w:cs="Arial"/>
          <w:lang w:val="en-US"/>
        </w:rPr>
        <w:t>A</w:t>
      </w:r>
      <w:r w:rsidR="00662B25" w:rsidRPr="00D20CD8">
        <w:rPr>
          <w:rFonts w:ascii="Arial" w:hAnsi="Arial" w:cs="Arial"/>
          <w:lang w:val="en-US"/>
        </w:rPr>
        <w:t xml:space="preserve">ll </w:t>
      </w:r>
      <w:r w:rsidR="008A781C" w:rsidRPr="00D20CD8">
        <w:rPr>
          <w:rFonts w:ascii="Arial" w:hAnsi="Arial" w:cs="Arial"/>
          <w:lang w:val="en-US"/>
        </w:rPr>
        <w:t>compounds</w:t>
      </w:r>
      <w:r w:rsidR="00662B25" w:rsidRPr="00D20CD8">
        <w:rPr>
          <w:rFonts w:ascii="Arial" w:hAnsi="Arial" w:cs="Arial"/>
          <w:lang w:val="en-US"/>
        </w:rPr>
        <w:t xml:space="preserve"> inhibit a</w:t>
      </w:r>
      <w:r w:rsidR="008A781C" w:rsidRPr="00D20CD8">
        <w:rPr>
          <w:rFonts w:ascii="Arial" w:hAnsi="Arial" w:cs="Arial"/>
          <w:lang w:val="en-US"/>
        </w:rPr>
        <w:t>n</w:t>
      </w:r>
      <w:r w:rsidR="00662B25" w:rsidRPr="00D20CD8">
        <w:rPr>
          <w:rFonts w:ascii="Arial" w:hAnsi="Arial" w:cs="Arial"/>
          <w:lang w:val="en-US"/>
        </w:rPr>
        <w:t xml:space="preserve"> oxidative hemolysis induced by free radical generated from </w:t>
      </w:r>
      <w:r w:rsidR="008A781C" w:rsidRPr="00D20CD8">
        <w:rPr>
          <w:rFonts w:ascii="Arial" w:hAnsi="Arial" w:cs="Arial"/>
          <w:lang w:val="en-US"/>
        </w:rPr>
        <w:t xml:space="preserve">the standard oxidative </w:t>
      </w:r>
      <w:proofErr w:type="spellStart"/>
      <w:r w:rsidR="00933DAA">
        <w:rPr>
          <w:rFonts w:ascii="Arial" w:hAnsi="Arial" w:cs="Arial"/>
          <w:lang w:val="en-US"/>
        </w:rPr>
        <w:t>hydrofilc</w:t>
      </w:r>
      <w:proofErr w:type="spellEnd"/>
      <w:r w:rsidR="00933DAA">
        <w:rPr>
          <w:rFonts w:ascii="Arial" w:hAnsi="Arial" w:cs="Arial"/>
          <w:lang w:val="en-US"/>
        </w:rPr>
        <w:t xml:space="preserve"> </w:t>
      </w:r>
      <w:r w:rsidR="008A781C" w:rsidRPr="00D20CD8">
        <w:rPr>
          <w:rFonts w:ascii="Arial" w:hAnsi="Arial" w:cs="Arial"/>
          <w:lang w:val="en-US"/>
        </w:rPr>
        <w:t xml:space="preserve">agent </w:t>
      </w:r>
      <w:r w:rsidR="00662B25" w:rsidRPr="00D20CD8">
        <w:rPr>
          <w:rFonts w:ascii="Arial" w:hAnsi="Arial" w:cs="Arial"/>
          <w:lang w:val="en-US"/>
        </w:rPr>
        <w:t>2,2'-azobis(2-methylpropionamidine) dihydrochloride (AAPH)</w:t>
      </w:r>
      <w:r w:rsidR="008A781C" w:rsidRPr="00D20CD8">
        <w:rPr>
          <w:rFonts w:ascii="Arial" w:hAnsi="Arial" w:cs="Arial"/>
          <w:lang w:val="en-US"/>
        </w:rPr>
        <w:t xml:space="preserve"> in the structure-depended manner</w:t>
      </w:r>
      <w:r>
        <w:rPr>
          <w:rFonts w:ascii="Arial" w:hAnsi="Arial" w:cs="Arial"/>
          <w:lang w:val="en-US"/>
        </w:rPr>
        <w:t xml:space="preserve"> (Fig. </w:t>
      </w:r>
      <w:r w:rsidR="00284B01">
        <w:rPr>
          <w:rFonts w:ascii="Arial" w:hAnsi="Arial" w:cs="Arial"/>
          <w:lang w:val="en-US"/>
        </w:rPr>
        <w:t>S6</w:t>
      </w:r>
      <w:r>
        <w:rPr>
          <w:rFonts w:ascii="Arial" w:hAnsi="Arial" w:cs="Arial"/>
          <w:lang w:val="en-US"/>
        </w:rPr>
        <w:t>)</w:t>
      </w:r>
      <w:r w:rsidR="00662B25" w:rsidRPr="00D20CD8">
        <w:rPr>
          <w:rFonts w:ascii="Arial" w:hAnsi="Arial" w:cs="Arial"/>
          <w:lang w:val="en-US"/>
        </w:rPr>
        <w:t>.</w:t>
      </w:r>
      <w:r w:rsidR="008A781C" w:rsidRPr="00D20CD8">
        <w:rPr>
          <w:rFonts w:ascii="Arial" w:hAnsi="Arial" w:cs="Arial"/>
          <w:lang w:val="en-US"/>
        </w:rPr>
        <w:t xml:space="preserve"> The cytoprotective activity of compounds 3 and 4 </w:t>
      </w:r>
      <w:r>
        <w:rPr>
          <w:rFonts w:ascii="Arial" w:hAnsi="Arial" w:cs="Arial"/>
          <w:lang w:val="en-US"/>
        </w:rPr>
        <w:t xml:space="preserve">is </w:t>
      </w:r>
      <w:r w:rsidR="008A781C" w:rsidRPr="00D20CD8">
        <w:rPr>
          <w:rFonts w:ascii="Arial" w:hAnsi="Arial" w:cs="Arial"/>
          <w:lang w:val="en-US"/>
        </w:rPr>
        <w:t xml:space="preserve">statistically the same </w:t>
      </w:r>
      <w:r>
        <w:rPr>
          <w:rFonts w:ascii="Arial" w:hAnsi="Arial" w:cs="Arial"/>
          <w:lang w:val="en-US"/>
        </w:rPr>
        <w:t>(</w:t>
      </w:r>
      <w:r w:rsidRPr="008555AE">
        <w:rPr>
          <w:rFonts w:ascii="Arial" w:hAnsi="Arial" w:cs="Arial"/>
          <w:i/>
          <w:iCs/>
          <w:lang w:val="en-US"/>
        </w:rPr>
        <w:t>p</w:t>
      </w:r>
      <w:r>
        <w:rPr>
          <w:rFonts w:ascii="Arial" w:hAnsi="Arial" w:cs="Arial"/>
          <w:lang w:val="en-US"/>
        </w:rPr>
        <w:t xml:space="preserve">&gt;0.05) </w:t>
      </w:r>
      <w:r w:rsidR="008A781C" w:rsidRPr="00D20CD8">
        <w:rPr>
          <w:rFonts w:ascii="Arial" w:hAnsi="Arial" w:cs="Arial"/>
          <w:lang w:val="en-US"/>
        </w:rPr>
        <w:t xml:space="preserve">as </w:t>
      </w:r>
      <w:r>
        <w:rPr>
          <w:rFonts w:ascii="Arial" w:hAnsi="Arial" w:cs="Arial"/>
          <w:lang w:val="en-US"/>
        </w:rPr>
        <w:t xml:space="preserve">obtained </w:t>
      </w:r>
      <w:r w:rsidR="008A781C" w:rsidRPr="00D20CD8">
        <w:rPr>
          <w:rFonts w:ascii="Arial" w:hAnsi="Arial" w:cs="Arial"/>
          <w:lang w:val="en-US"/>
        </w:rPr>
        <w:t xml:space="preserve">for the Trolox </w:t>
      </w:r>
      <w:r>
        <w:rPr>
          <w:rFonts w:ascii="Arial" w:hAnsi="Arial" w:cs="Arial"/>
          <w:lang w:val="en-US"/>
        </w:rPr>
        <w:t>(st</w:t>
      </w:r>
      <w:r w:rsidR="008A781C" w:rsidRPr="00D20CD8">
        <w:rPr>
          <w:rFonts w:ascii="Arial" w:hAnsi="Arial" w:cs="Arial"/>
          <w:lang w:val="en-US"/>
        </w:rPr>
        <w:t>andard antioxidant</w:t>
      </w:r>
      <w:r>
        <w:rPr>
          <w:rFonts w:ascii="Arial" w:hAnsi="Arial" w:cs="Arial"/>
          <w:lang w:val="en-US"/>
        </w:rPr>
        <w:t>)</w:t>
      </w:r>
      <w:r w:rsidR="008A781C" w:rsidRPr="00D20CD8">
        <w:rPr>
          <w:rFonts w:ascii="Arial" w:hAnsi="Arial" w:cs="Arial"/>
          <w:lang w:val="en-US"/>
        </w:rPr>
        <w:t>.</w:t>
      </w:r>
      <w:r w:rsidR="00477797">
        <w:rPr>
          <w:rFonts w:ascii="Arial" w:hAnsi="Arial" w:cs="Arial"/>
          <w:lang w:val="en-US"/>
        </w:rPr>
        <w:t xml:space="preserve"> The chemical structure of 3 and 4 is similar (prediction – </w:t>
      </w:r>
      <w:r w:rsidR="00477797" w:rsidRPr="00477797">
        <w:rPr>
          <w:rFonts w:ascii="Arial" w:hAnsi="Arial" w:cs="Arial"/>
          <w:i/>
          <w:iCs/>
          <w:lang w:val="en-US"/>
        </w:rPr>
        <w:t xml:space="preserve">the role of the </w:t>
      </w:r>
      <w:r w:rsidR="00933DAA">
        <w:rPr>
          <w:rFonts w:ascii="Arial" w:hAnsi="Arial" w:cs="Arial"/>
          <w:i/>
          <w:iCs/>
          <w:lang w:val="en-US"/>
        </w:rPr>
        <w:t xml:space="preserve">propyl groups </w:t>
      </w:r>
      <w:r w:rsidR="00477797" w:rsidRPr="00477797">
        <w:rPr>
          <w:rFonts w:ascii="Arial" w:hAnsi="Arial" w:cs="Arial"/>
          <w:i/>
          <w:iCs/>
          <w:lang w:val="en-US"/>
        </w:rPr>
        <w:t xml:space="preserve"> in </w:t>
      </w:r>
      <w:r w:rsidR="00477797">
        <w:rPr>
          <w:rFonts w:ascii="Arial" w:hAnsi="Arial" w:cs="Arial"/>
          <w:i/>
          <w:iCs/>
          <w:lang w:val="en-US"/>
        </w:rPr>
        <w:t xml:space="preserve">the specific </w:t>
      </w:r>
      <w:r w:rsidR="00477797" w:rsidRPr="00477797">
        <w:rPr>
          <w:rFonts w:ascii="Arial" w:hAnsi="Arial" w:cs="Arial"/>
          <w:i/>
          <w:iCs/>
          <w:lang w:val="en-US"/>
        </w:rPr>
        <w:t>membrane incorporating</w:t>
      </w:r>
      <w:r w:rsidR="00477797">
        <w:rPr>
          <w:rFonts w:ascii="Arial" w:hAnsi="Arial" w:cs="Arial"/>
          <w:lang w:val="en-US"/>
        </w:rPr>
        <w:t>).</w:t>
      </w:r>
    </w:p>
    <w:p w14:paraId="495E2A7F" w14:textId="77777777" w:rsidR="000C2028" w:rsidRPr="00D20CD8" w:rsidRDefault="000C2028" w:rsidP="00095D22">
      <w:pPr>
        <w:ind w:left="360"/>
        <w:jc w:val="both"/>
        <w:rPr>
          <w:rFonts w:ascii="Arial" w:hAnsi="Arial" w:cs="Arial"/>
          <w:lang w:val="en-US"/>
        </w:rPr>
      </w:pPr>
    </w:p>
    <w:p w14:paraId="3C9116B7" w14:textId="77777777" w:rsidR="00662B25" w:rsidRDefault="007A28EC" w:rsidP="00662B25">
      <w:pPr>
        <w:jc w:val="center"/>
        <w:rPr>
          <w:rFonts w:ascii="Arial" w:hAnsi="Arial" w:cs="Arial"/>
          <w:lang w:val="en-US"/>
        </w:rPr>
      </w:pPr>
      <w:r>
        <w:rPr>
          <w:noProof/>
          <w:lang w:eastAsia="pl-PL"/>
        </w:rPr>
        <w:drawing>
          <wp:inline distT="0" distB="0" distL="0" distR="0" wp14:anchorId="314D2999" wp14:editId="7841A9F2">
            <wp:extent cx="4146834" cy="2178252"/>
            <wp:effectExtent l="0" t="0" r="6350" b="12700"/>
            <wp:docPr id="1" name="Wykres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213663" w14:textId="77777777" w:rsidR="007A28EC" w:rsidRPr="00D20CD8" w:rsidRDefault="007A28EC" w:rsidP="00662B25">
      <w:pPr>
        <w:jc w:val="center"/>
        <w:rPr>
          <w:rFonts w:ascii="Arial" w:hAnsi="Arial" w:cs="Arial"/>
          <w:lang w:val="en-US"/>
        </w:rPr>
      </w:pPr>
      <w:r>
        <w:rPr>
          <w:noProof/>
          <w:lang w:eastAsia="pl-PL"/>
        </w:rPr>
        <w:drawing>
          <wp:inline distT="0" distB="0" distL="0" distR="0" wp14:anchorId="0A21A12D" wp14:editId="4731035B">
            <wp:extent cx="2486025" cy="2537359"/>
            <wp:effectExtent l="0" t="0" r="0" b="0"/>
            <wp:docPr id="5" name="Picture 4" descr="Obraz zawierający stół&#10;&#10;Opis wygenerowany automatycznie">
              <a:extLst xmlns:a="http://schemas.openxmlformats.org/drawingml/2006/main">
                <a:ext uri="{FF2B5EF4-FFF2-40B4-BE49-F238E27FC236}">
                  <a16:creationId xmlns:a16="http://schemas.microsoft.com/office/drawing/2014/main" id="{00000000-0008-0000-00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Obraz zawierający stół&#10;&#10;Opis wygenerowany automatycznie">
                      <a:extLst>
                        <a:ext uri="{FF2B5EF4-FFF2-40B4-BE49-F238E27FC236}">
                          <a16:creationId xmlns:a16="http://schemas.microsoft.com/office/drawing/2014/main" id="{00000000-0008-0000-0000-000005000000}"/>
                        </a:ext>
                      </a:extLst>
                    </pic:cNvPr>
                    <pic:cNvPicPr>
                      <a:picLocks noChangeAspect="1"/>
                    </pic:cNvPicPr>
                  </pic:nvPicPr>
                  <pic:blipFill>
                    <a:blip r:embed="rId13" cstate="print"/>
                    <a:stretch>
                      <a:fillRect/>
                    </a:stretch>
                  </pic:blipFill>
                  <pic:spPr>
                    <a:xfrm>
                      <a:off x="0" y="0"/>
                      <a:ext cx="2495846" cy="2547383"/>
                    </a:xfrm>
                    <a:prstGeom prst="rect">
                      <a:avLst/>
                    </a:prstGeom>
                  </pic:spPr>
                </pic:pic>
              </a:graphicData>
            </a:graphic>
          </wp:inline>
        </w:drawing>
      </w:r>
    </w:p>
    <w:p w14:paraId="06302785" w14:textId="12413D8B" w:rsidR="00662B25" w:rsidRDefault="000953A8" w:rsidP="000953A8">
      <w:pPr>
        <w:autoSpaceDE w:val="0"/>
        <w:autoSpaceDN w:val="0"/>
        <w:adjustRightInd w:val="0"/>
        <w:spacing w:after="0" w:line="240" w:lineRule="auto"/>
        <w:jc w:val="both"/>
        <w:rPr>
          <w:rFonts w:ascii="Arial" w:hAnsi="Arial" w:cs="Arial"/>
          <w:kern w:val="0"/>
          <w:sz w:val="20"/>
          <w:szCs w:val="20"/>
          <w:lang w:val="en-US"/>
        </w:rPr>
      </w:pPr>
      <w:r w:rsidRPr="00DA7A2E">
        <w:rPr>
          <w:rFonts w:ascii="Arial" w:hAnsi="Arial" w:cs="Arial"/>
          <w:b/>
          <w:bCs/>
          <w:kern w:val="0"/>
          <w:sz w:val="20"/>
          <w:szCs w:val="20"/>
          <w:lang w:val="en-US"/>
        </w:rPr>
        <w:t xml:space="preserve">Fig. </w:t>
      </w:r>
      <w:r w:rsidR="00284B01">
        <w:rPr>
          <w:rFonts w:ascii="Arial" w:hAnsi="Arial" w:cs="Arial"/>
          <w:b/>
          <w:bCs/>
          <w:kern w:val="0"/>
          <w:sz w:val="20"/>
          <w:szCs w:val="20"/>
          <w:lang w:val="en-US"/>
        </w:rPr>
        <w:t>S6</w:t>
      </w:r>
      <w:r w:rsidRPr="00DA7A2E">
        <w:rPr>
          <w:rFonts w:ascii="Arial" w:hAnsi="Arial" w:cs="Arial"/>
          <w:b/>
          <w:bCs/>
          <w:kern w:val="0"/>
          <w:sz w:val="20"/>
          <w:szCs w:val="20"/>
          <w:lang w:val="en-US"/>
        </w:rPr>
        <w:t>.</w:t>
      </w:r>
      <w:r w:rsidRPr="00DA7A2E">
        <w:rPr>
          <w:rFonts w:ascii="Arial" w:hAnsi="Arial" w:cs="Arial"/>
          <w:kern w:val="0"/>
          <w:sz w:val="20"/>
          <w:szCs w:val="20"/>
          <w:lang w:val="en-US"/>
        </w:rPr>
        <w:t xml:space="preserve"> Cytoprotective properties of compounds 1-4 used at the concentration 0.01 mg/mL </w:t>
      </w:r>
      <w:r w:rsidR="00933DAA">
        <w:rPr>
          <w:rFonts w:ascii="Arial" w:hAnsi="Arial" w:cs="Arial"/>
          <w:kern w:val="0"/>
          <w:sz w:val="20"/>
          <w:szCs w:val="20"/>
          <w:lang w:val="en-US"/>
        </w:rPr>
        <w:t xml:space="preserve">60 mM </w:t>
      </w:r>
      <w:r w:rsidRPr="00DA7A2E">
        <w:rPr>
          <w:rFonts w:ascii="Arial" w:hAnsi="Arial" w:cs="Arial"/>
          <w:kern w:val="0"/>
          <w:sz w:val="20"/>
          <w:szCs w:val="20"/>
          <w:lang w:val="en-US"/>
        </w:rPr>
        <w:t>against 2,2’-azobis(2-methylpropionamidine) dihydrochloride (AAPH)-induced oxidative hemolysis (means ± SD</w:t>
      </w:r>
      <w:r w:rsidR="00D20CD8" w:rsidRPr="00DA7A2E">
        <w:rPr>
          <w:rFonts w:ascii="Arial" w:hAnsi="Arial" w:cs="Arial"/>
          <w:kern w:val="0"/>
          <w:sz w:val="20"/>
          <w:szCs w:val="20"/>
          <w:lang w:val="en-US"/>
        </w:rPr>
        <w:t>, n=</w:t>
      </w:r>
      <w:r w:rsidR="00F70D90" w:rsidRPr="00DA7A2E">
        <w:rPr>
          <w:rFonts w:ascii="Arial" w:hAnsi="Arial" w:cs="Arial"/>
          <w:kern w:val="0"/>
          <w:sz w:val="20"/>
          <w:szCs w:val="20"/>
          <w:lang w:val="en-US"/>
        </w:rPr>
        <w:t>1</w:t>
      </w:r>
      <w:r w:rsidR="00CA093F" w:rsidRPr="00DA7A2E">
        <w:rPr>
          <w:rFonts w:ascii="Arial" w:hAnsi="Arial" w:cs="Arial"/>
          <w:kern w:val="0"/>
          <w:sz w:val="20"/>
          <w:szCs w:val="20"/>
          <w:lang w:val="en-US"/>
        </w:rPr>
        <w:t>2</w:t>
      </w:r>
      <w:r w:rsidR="00D20CD8" w:rsidRPr="00DA7A2E">
        <w:rPr>
          <w:rFonts w:ascii="Arial" w:hAnsi="Arial" w:cs="Arial"/>
          <w:kern w:val="0"/>
          <w:sz w:val="20"/>
          <w:szCs w:val="20"/>
          <w:lang w:val="en-US"/>
        </w:rPr>
        <w:t>-1</w:t>
      </w:r>
      <w:r w:rsidR="00F70D90" w:rsidRPr="00DA7A2E">
        <w:rPr>
          <w:rFonts w:ascii="Arial" w:hAnsi="Arial" w:cs="Arial"/>
          <w:kern w:val="0"/>
          <w:sz w:val="20"/>
          <w:szCs w:val="20"/>
          <w:lang w:val="en-US"/>
        </w:rPr>
        <w:t>3</w:t>
      </w:r>
      <w:r w:rsidRPr="00DA7A2E">
        <w:rPr>
          <w:rFonts w:ascii="Arial" w:hAnsi="Arial" w:cs="Arial"/>
          <w:kern w:val="0"/>
          <w:sz w:val="20"/>
          <w:szCs w:val="20"/>
          <w:lang w:val="en-US"/>
        </w:rPr>
        <w:t xml:space="preserve">). Values denoted with identical letters do not differ significantly </w:t>
      </w:r>
    </w:p>
    <w:p w14:paraId="0068CB99" w14:textId="77777777" w:rsidR="00933DAA" w:rsidRDefault="00933DAA" w:rsidP="000953A8">
      <w:pPr>
        <w:autoSpaceDE w:val="0"/>
        <w:autoSpaceDN w:val="0"/>
        <w:adjustRightInd w:val="0"/>
        <w:spacing w:after="0" w:line="240" w:lineRule="auto"/>
        <w:jc w:val="both"/>
        <w:rPr>
          <w:rFonts w:ascii="Arial" w:hAnsi="Arial" w:cs="Arial"/>
          <w:kern w:val="0"/>
          <w:sz w:val="20"/>
          <w:szCs w:val="20"/>
          <w:lang w:val="en-US"/>
        </w:rPr>
      </w:pPr>
    </w:p>
    <w:p w14:paraId="4F575B7D" w14:textId="77777777" w:rsidR="00933DAA" w:rsidRPr="00DA7A2E" w:rsidRDefault="00933DAA" w:rsidP="000953A8">
      <w:pPr>
        <w:autoSpaceDE w:val="0"/>
        <w:autoSpaceDN w:val="0"/>
        <w:adjustRightInd w:val="0"/>
        <w:spacing w:after="0" w:line="240" w:lineRule="auto"/>
        <w:jc w:val="both"/>
        <w:rPr>
          <w:rFonts w:ascii="Arial" w:hAnsi="Arial" w:cs="Arial"/>
          <w:sz w:val="20"/>
          <w:szCs w:val="20"/>
          <w:lang w:val="en-US"/>
        </w:rPr>
      </w:pPr>
    </w:p>
    <w:p w14:paraId="655D9902" w14:textId="77777777" w:rsidR="008555AE" w:rsidRDefault="001E6951" w:rsidP="000953A8">
      <w:pPr>
        <w:autoSpaceDE w:val="0"/>
        <w:autoSpaceDN w:val="0"/>
        <w:adjustRightInd w:val="0"/>
        <w:spacing w:after="0" w:line="240" w:lineRule="auto"/>
        <w:jc w:val="both"/>
        <w:rPr>
          <w:rFonts w:ascii="Arial" w:eastAsia="MinionPro-Regular" w:hAnsi="Arial" w:cs="Arial"/>
          <w:i/>
          <w:iCs/>
          <w:color w:val="000000"/>
          <w:kern w:val="0"/>
          <w:lang w:val="en-US"/>
        </w:rPr>
      </w:pPr>
      <w:r>
        <w:rPr>
          <w:rFonts w:ascii="Arial" w:eastAsia="MinionPro-Regular" w:hAnsi="Arial" w:cs="Arial"/>
          <w:i/>
          <w:iCs/>
          <w:color w:val="000000"/>
          <w:kern w:val="0"/>
          <w:lang w:val="en-US"/>
        </w:rPr>
        <w:t>2.2.</w:t>
      </w:r>
      <w:r w:rsidR="000D26DB" w:rsidRPr="000D26DB">
        <w:rPr>
          <w:rFonts w:ascii="Arial" w:eastAsia="MinionPro-Regular" w:hAnsi="Arial" w:cs="Arial"/>
          <w:i/>
          <w:iCs/>
          <w:color w:val="000000"/>
          <w:kern w:val="0"/>
          <w:lang w:val="en-US"/>
        </w:rPr>
        <w:t xml:space="preserve"> Hemoglobin level </w:t>
      </w:r>
    </w:p>
    <w:p w14:paraId="52C3DEB5" w14:textId="77777777" w:rsidR="000D26DB" w:rsidRPr="000D26DB" w:rsidRDefault="000D26DB" w:rsidP="000953A8">
      <w:pPr>
        <w:autoSpaceDE w:val="0"/>
        <w:autoSpaceDN w:val="0"/>
        <w:adjustRightInd w:val="0"/>
        <w:spacing w:after="0" w:line="240" w:lineRule="auto"/>
        <w:jc w:val="both"/>
        <w:rPr>
          <w:rFonts w:ascii="Arial" w:eastAsia="MinionPro-Regular" w:hAnsi="Arial" w:cs="Arial"/>
          <w:i/>
          <w:iCs/>
          <w:color w:val="000000"/>
          <w:kern w:val="0"/>
          <w:lang w:val="en-US"/>
        </w:rPr>
      </w:pPr>
    </w:p>
    <w:p w14:paraId="3F439EB2" w14:textId="77777777" w:rsidR="000953A8" w:rsidRPr="00D20CD8" w:rsidRDefault="008555AE" w:rsidP="000953A8">
      <w:pPr>
        <w:autoSpaceDE w:val="0"/>
        <w:autoSpaceDN w:val="0"/>
        <w:adjustRightInd w:val="0"/>
        <w:spacing w:after="0" w:line="240" w:lineRule="auto"/>
        <w:jc w:val="both"/>
        <w:rPr>
          <w:rFonts w:ascii="Arial" w:eastAsia="MinionPro-Regular" w:hAnsi="Arial" w:cs="Arial"/>
          <w:color w:val="000000"/>
          <w:kern w:val="0"/>
          <w:lang w:val="en-US"/>
        </w:rPr>
      </w:pPr>
      <w:r>
        <w:rPr>
          <w:rFonts w:ascii="Arial" w:eastAsia="MinionPro-Regular" w:hAnsi="Arial" w:cs="Arial"/>
          <w:color w:val="000000"/>
          <w:kern w:val="0"/>
          <w:lang w:val="en-US"/>
        </w:rPr>
        <w:t>Hemoglobin (Hb) is t</w:t>
      </w:r>
      <w:r w:rsidR="000953A8" w:rsidRPr="00D20CD8">
        <w:rPr>
          <w:rFonts w:ascii="Arial" w:eastAsia="MinionPro-Regular" w:hAnsi="Arial" w:cs="Arial"/>
          <w:color w:val="000000"/>
          <w:kern w:val="0"/>
          <w:lang w:val="en-US"/>
        </w:rPr>
        <w:t xml:space="preserve">he main intracellular protein of </w:t>
      </w:r>
      <w:r>
        <w:rPr>
          <w:rFonts w:ascii="Arial" w:eastAsia="MinionPro-Regular" w:hAnsi="Arial" w:cs="Arial"/>
          <w:color w:val="000000"/>
          <w:kern w:val="0"/>
          <w:lang w:val="en-US"/>
        </w:rPr>
        <w:t xml:space="preserve">human </w:t>
      </w:r>
      <w:r w:rsidR="000953A8" w:rsidRPr="00D20CD8">
        <w:rPr>
          <w:rFonts w:ascii="Arial" w:eastAsia="MinionPro-Regular" w:hAnsi="Arial" w:cs="Arial"/>
          <w:color w:val="000000"/>
          <w:kern w:val="0"/>
          <w:lang w:val="en-US"/>
        </w:rPr>
        <w:t xml:space="preserve">RBC with </w:t>
      </w:r>
      <w:r w:rsidR="00477797">
        <w:rPr>
          <w:rFonts w:ascii="Arial" w:eastAsia="MinionPro-Regular" w:hAnsi="Arial" w:cs="Arial"/>
          <w:color w:val="000000"/>
          <w:kern w:val="0"/>
          <w:lang w:val="en-US"/>
        </w:rPr>
        <w:t xml:space="preserve">the </w:t>
      </w:r>
      <w:r w:rsidR="000953A8" w:rsidRPr="00D20CD8">
        <w:rPr>
          <w:rFonts w:ascii="Arial" w:eastAsia="MinionPro-Regular" w:hAnsi="Arial" w:cs="Arial"/>
          <w:color w:val="000000"/>
          <w:kern w:val="0"/>
          <w:lang w:val="en-US"/>
        </w:rPr>
        <w:t xml:space="preserve">function of oxygen transport. Hb </w:t>
      </w:r>
      <w:r w:rsidR="00933DAA">
        <w:rPr>
          <w:rFonts w:ascii="Arial" w:eastAsia="MinionPro-Regular" w:hAnsi="Arial" w:cs="Arial"/>
          <w:color w:val="000000"/>
          <w:kern w:val="0"/>
          <w:lang w:val="en-US"/>
        </w:rPr>
        <w:t>(Fe</w:t>
      </w:r>
      <w:r w:rsidR="00933DAA" w:rsidRPr="00933DAA">
        <w:rPr>
          <w:rFonts w:ascii="Arial" w:eastAsia="MinionPro-Regular" w:hAnsi="Arial" w:cs="Arial"/>
          <w:color w:val="000000"/>
          <w:kern w:val="0"/>
          <w:vertAlign w:val="superscript"/>
          <w:lang w:val="en-US"/>
        </w:rPr>
        <w:t>2+</w:t>
      </w:r>
      <w:r w:rsidR="00933DAA">
        <w:rPr>
          <w:rFonts w:ascii="Arial" w:eastAsia="MinionPro-Regular" w:hAnsi="Arial" w:cs="Arial"/>
          <w:color w:val="000000"/>
          <w:kern w:val="0"/>
          <w:lang w:val="en-US"/>
        </w:rPr>
        <w:t xml:space="preserve">) </w:t>
      </w:r>
      <w:r w:rsidR="000953A8" w:rsidRPr="00D20CD8">
        <w:rPr>
          <w:rFonts w:ascii="Arial" w:eastAsia="MinionPro-Regular" w:hAnsi="Arial" w:cs="Arial"/>
          <w:color w:val="000000"/>
          <w:kern w:val="0"/>
          <w:lang w:val="en-US"/>
        </w:rPr>
        <w:t>undergoes autooxidation to methemoglobin (</w:t>
      </w:r>
      <w:proofErr w:type="spellStart"/>
      <w:r w:rsidR="000953A8" w:rsidRPr="00D20CD8">
        <w:rPr>
          <w:rFonts w:ascii="Arial" w:eastAsia="MinionPro-Regular" w:hAnsi="Arial" w:cs="Arial"/>
          <w:color w:val="000000"/>
          <w:kern w:val="0"/>
          <w:lang w:val="en-US"/>
        </w:rPr>
        <w:t>MetHb</w:t>
      </w:r>
      <w:proofErr w:type="spellEnd"/>
      <w:r w:rsidR="000953A8" w:rsidRPr="00D20CD8">
        <w:rPr>
          <w:rFonts w:ascii="Arial" w:eastAsia="MinionPro-Regular" w:hAnsi="Arial" w:cs="Arial"/>
          <w:color w:val="000000"/>
          <w:kern w:val="0"/>
          <w:lang w:val="en-US"/>
        </w:rPr>
        <w:t>) with hem iron oxidized  (</w:t>
      </w:r>
      <w:r w:rsidR="00933DAA">
        <w:rPr>
          <w:rFonts w:ascii="Arial" w:eastAsia="MinionPro-Regular" w:hAnsi="Arial" w:cs="Arial"/>
          <w:color w:val="000000"/>
          <w:kern w:val="0"/>
          <w:lang w:val="en-US"/>
        </w:rPr>
        <w:t>Fe</w:t>
      </w:r>
      <w:r w:rsidR="00933DAA" w:rsidRPr="00933DAA">
        <w:rPr>
          <w:rFonts w:ascii="Arial" w:eastAsia="MinionPro-Regular" w:hAnsi="Arial" w:cs="Arial"/>
          <w:color w:val="000000"/>
          <w:kern w:val="0"/>
          <w:vertAlign w:val="superscript"/>
          <w:lang w:val="en-US"/>
        </w:rPr>
        <w:t>3+</w:t>
      </w:r>
      <w:r w:rsidR="000953A8" w:rsidRPr="00D20CD8">
        <w:rPr>
          <w:rFonts w:ascii="Arial" w:eastAsia="MinionPro-Regular" w:hAnsi="Arial" w:cs="Arial"/>
          <w:color w:val="000000"/>
          <w:kern w:val="0"/>
          <w:lang w:val="en-US"/>
        </w:rPr>
        <w:t>)</w:t>
      </w:r>
      <w:r>
        <w:rPr>
          <w:rFonts w:ascii="Arial" w:eastAsia="MinionPro-Regular" w:hAnsi="Arial" w:cs="Arial"/>
          <w:color w:val="000000"/>
          <w:kern w:val="0"/>
          <w:lang w:val="en-US"/>
        </w:rPr>
        <w:t xml:space="preserve">. </w:t>
      </w:r>
      <w:proofErr w:type="spellStart"/>
      <w:r>
        <w:rPr>
          <w:rFonts w:ascii="Arial" w:eastAsia="MinionPro-Regular" w:hAnsi="Arial" w:cs="Arial"/>
          <w:color w:val="000000"/>
          <w:kern w:val="0"/>
          <w:lang w:val="en-US"/>
        </w:rPr>
        <w:t>MetHb</w:t>
      </w:r>
      <w:proofErr w:type="spellEnd"/>
      <w:r>
        <w:rPr>
          <w:rFonts w:ascii="Arial" w:eastAsia="MinionPro-Regular" w:hAnsi="Arial" w:cs="Arial"/>
          <w:color w:val="000000"/>
          <w:kern w:val="0"/>
          <w:lang w:val="en-US"/>
        </w:rPr>
        <w:t xml:space="preserve"> </w:t>
      </w:r>
      <w:r w:rsidR="000953A8" w:rsidRPr="00D20CD8">
        <w:rPr>
          <w:rFonts w:ascii="Arial" w:eastAsia="MinionPro-Regular" w:hAnsi="Arial" w:cs="Arial"/>
          <w:color w:val="000000"/>
          <w:kern w:val="0"/>
          <w:lang w:val="en-US"/>
        </w:rPr>
        <w:t xml:space="preserve">is inactive </w:t>
      </w:r>
      <w:r>
        <w:rPr>
          <w:rFonts w:ascii="Arial" w:eastAsia="MinionPro-Regular" w:hAnsi="Arial" w:cs="Arial"/>
          <w:color w:val="000000"/>
          <w:kern w:val="0"/>
          <w:lang w:val="en-US"/>
        </w:rPr>
        <w:t xml:space="preserve">protein as an </w:t>
      </w:r>
      <w:r w:rsidR="000953A8" w:rsidRPr="00D20CD8">
        <w:rPr>
          <w:rFonts w:ascii="Arial" w:eastAsia="MinionPro-Regular" w:hAnsi="Arial" w:cs="Arial"/>
          <w:color w:val="000000"/>
          <w:kern w:val="0"/>
          <w:lang w:val="en-US"/>
        </w:rPr>
        <w:t xml:space="preserve">oxygen transporter. </w:t>
      </w:r>
    </w:p>
    <w:p w14:paraId="202BDD72" w14:textId="77777777" w:rsidR="008555AE" w:rsidRDefault="008555AE" w:rsidP="00A8753A">
      <w:pPr>
        <w:autoSpaceDE w:val="0"/>
        <w:autoSpaceDN w:val="0"/>
        <w:adjustRightInd w:val="0"/>
        <w:spacing w:after="0" w:line="240" w:lineRule="auto"/>
        <w:jc w:val="both"/>
        <w:rPr>
          <w:rFonts w:ascii="Arial" w:eastAsia="MinionPro-Regular" w:hAnsi="Arial" w:cs="Arial"/>
          <w:color w:val="000000"/>
          <w:kern w:val="0"/>
          <w:lang w:val="en-US"/>
        </w:rPr>
      </w:pPr>
    </w:p>
    <w:p w14:paraId="4DDB1C87" w14:textId="77777777" w:rsidR="00A8753A" w:rsidRPr="00D20CD8" w:rsidRDefault="00477797" w:rsidP="00A8753A">
      <w:pPr>
        <w:autoSpaceDE w:val="0"/>
        <w:autoSpaceDN w:val="0"/>
        <w:adjustRightInd w:val="0"/>
        <w:spacing w:after="0" w:line="240" w:lineRule="auto"/>
        <w:jc w:val="both"/>
        <w:rPr>
          <w:rFonts w:ascii="Arial" w:eastAsia="MinionPro-Regular" w:hAnsi="Arial" w:cs="Arial"/>
          <w:color w:val="000000"/>
          <w:kern w:val="0"/>
          <w:lang w:val="en-US"/>
        </w:rPr>
      </w:pPr>
      <w:r>
        <w:rPr>
          <w:rFonts w:ascii="Arial" w:eastAsia="MinionPro-Regular" w:hAnsi="Arial" w:cs="Arial"/>
          <w:color w:val="000000"/>
          <w:kern w:val="0"/>
          <w:lang w:val="en-US"/>
        </w:rPr>
        <w:t>T</w:t>
      </w:r>
      <w:r w:rsidR="000953A8" w:rsidRPr="00D20CD8">
        <w:rPr>
          <w:rFonts w:ascii="Arial" w:eastAsia="MinionPro-Regular" w:hAnsi="Arial" w:cs="Arial"/>
          <w:color w:val="000000"/>
          <w:kern w:val="0"/>
          <w:lang w:val="en-US"/>
        </w:rPr>
        <w:t xml:space="preserve">o investigate the </w:t>
      </w:r>
      <w:proofErr w:type="spellStart"/>
      <w:r w:rsidR="008555AE">
        <w:rPr>
          <w:rFonts w:ascii="Arial" w:eastAsia="MinionPro-Regular" w:hAnsi="Arial" w:cs="Arial"/>
          <w:color w:val="000000"/>
          <w:kern w:val="0"/>
          <w:lang w:val="en-US"/>
        </w:rPr>
        <w:t>hemo</w:t>
      </w:r>
      <w:r w:rsidR="000953A8" w:rsidRPr="00D20CD8">
        <w:rPr>
          <w:rFonts w:ascii="Arial" w:eastAsia="MinionPro-Regular" w:hAnsi="Arial" w:cs="Arial"/>
          <w:color w:val="000000"/>
          <w:kern w:val="0"/>
          <w:lang w:val="en-US"/>
        </w:rPr>
        <w:t>protective</w:t>
      </w:r>
      <w:proofErr w:type="spellEnd"/>
      <w:r w:rsidR="000953A8" w:rsidRPr="00D20CD8">
        <w:rPr>
          <w:rFonts w:ascii="Arial" w:eastAsia="MinionPro-Regular" w:hAnsi="Arial" w:cs="Arial"/>
          <w:color w:val="000000"/>
          <w:kern w:val="0"/>
          <w:lang w:val="en-US"/>
        </w:rPr>
        <w:t xml:space="preserve"> role of compound</w:t>
      </w:r>
      <w:r w:rsidR="008555AE">
        <w:rPr>
          <w:rFonts w:ascii="Arial" w:eastAsia="MinionPro-Regular" w:hAnsi="Arial" w:cs="Arial"/>
          <w:color w:val="000000"/>
          <w:kern w:val="0"/>
          <w:lang w:val="en-US"/>
        </w:rPr>
        <w:t>s</w:t>
      </w:r>
      <w:r w:rsidR="000953A8" w:rsidRPr="00D20CD8">
        <w:rPr>
          <w:rFonts w:ascii="Arial" w:eastAsia="MinionPro-Regular" w:hAnsi="Arial" w:cs="Arial"/>
          <w:color w:val="000000"/>
          <w:kern w:val="0"/>
          <w:lang w:val="en-US"/>
        </w:rPr>
        <w:t xml:space="preserve"> 1-4 </w:t>
      </w:r>
      <w:r w:rsidR="008555AE">
        <w:rPr>
          <w:rFonts w:ascii="Arial" w:eastAsia="MinionPro-Regular" w:hAnsi="Arial" w:cs="Arial"/>
          <w:color w:val="000000"/>
          <w:kern w:val="0"/>
          <w:lang w:val="en-US"/>
        </w:rPr>
        <w:t xml:space="preserve">(0.01 mg/mL) </w:t>
      </w:r>
      <w:r w:rsidR="000953A8" w:rsidRPr="00D20CD8">
        <w:rPr>
          <w:rFonts w:ascii="Arial" w:eastAsia="MinionPro-Regular" w:hAnsi="Arial" w:cs="Arial"/>
          <w:color w:val="000000"/>
          <w:kern w:val="0"/>
          <w:lang w:val="en-US"/>
        </w:rPr>
        <w:t xml:space="preserve">against Hb oxidation to </w:t>
      </w:r>
      <w:proofErr w:type="spellStart"/>
      <w:r w:rsidR="000953A8" w:rsidRPr="00D20CD8">
        <w:rPr>
          <w:rFonts w:ascii="Arial" w:eastAsia="MinionPro-Regular" w:hAnsi="Arial" w:cs="Arial"/>
          <w:color w:val="000000"/>
          <w:kern w:val="0"/>
          <w:lang w:val="en-US"/>
        </w:rPr>
        <w:t>MetHb</w:t>
      </w:r>
      <w:proofErr w:type="spellEnd"/>
      <w:r w:rsidR="000953A8" w:rsidRPr="00D20CD8">
        <w:rPr>
          <w:rFonts w:ascii="Arial" w:eastAsia="MinionPro-Regular" w:hAnsi="Arial" w:cs="Arial"/>
          <w:color w:val="000000"/>
          <w:kern w:val="0"/>
          <w:lang w:val="en-US"/>
        </w:rPr>
        <w:t xml:space="preserve">, the spectral scans of Hb (450–700 nm) </w:t>
      </w:r>
      <w:r w:rsidR="00A8753A" w:rsidRPr="00D20CD8">
        <w:rPr>
          <w:rFonts w:ascii="Arial" w:eastAsia="MinionPro-Regular" w:hAnsi="Arial" w:cs="Arial"/>
          <w:color w:val="000000"/>
          <w:kern w:val="0"/>
          <w:lang w:val="en-US"/>
        </w:rPr>
        <w:t xml:space="preserve">in supernatants </w:t>
      </w:r>
      <w:r w:rsidR="000953A8" w:rsidRPr="00D20CD8">
        <w:rPr>
          <w:rFonts w:ascii="Arial" w:eastAsia="MinionPro-Regular" w:hAnsi="Arial" w:cs="Arial"/>
          <w:color w:val="000000"/>
          <w:kern w:val="0"/>
          <w:lang w:val="en-US"/>
        </w:rPr>
        <w:t xml:space="preserve">were performed. </w:t>
      </w:r>
      <w:r w:rsidR="00A8753A" w:rsidRPr="00D20CD8">
        <w:rPr>
          <w:rFonts w:ascii="Arial" w:eastAsia="MinionPro-Regular" w:hAnsi="Arial" w:cs="Arial"/>
          <w:color w:val="000000"/>
          <w:kern w:val="0"/>
          <w:lang w:val="en-US"/>
        </w:rPr>
        <w:t>O</w:t>
      </w:r>
      <w:r w:rsidR="000953A8" w:rsidRPr="00D20CD8">
        <w:rPr>
          <w:rFonts w:ascii="Arial" w:eastAsia="MinionPro-Regular" w:hAnsi="Arial" w:cs="Arial"/>
          <w:color w:val="000000"/>
          <w:kern w:val="0"/>
          <w:lang w:val="en-US"/>
        </w:rPr>
        <w:t>xyhemoglobin is characterized by two peaks at 540 and 570 nm,</w:t>
      </w:r>
      <w:r w:rsidR="00A8753A" w:rsidRPr="00D20CD8">
        <w:rPr>
          <w:rFonts w:ascii="Arial" w:eastAsia="MinionPro-Regular" w:hAnsi="Arial" w:cs="Arial"/>
          <w:color w:val="000000"/>
          <w:kern w:val="0"/>
          <w:lang w:val="en-US"/>
        </w:rPr>
        <w:t xml:space="preserve"> whereas </w:t>
      </w:r>
      <w:proofErr w:type="spellStart"/>
      <w:r w:rsidR="000953A8" w:rsidRPr="00D20CD8">
        <w:rPr>
          <w:rFonts w:ascii="Arial" w:eastAsia="MinionPro-Regular" w:hAnsi="Arial" w:cs="Arial"/>
          <w:color w:val="000000"/>
          <w:kern w:val="0"/>
          <w:lang w:val="en-US"/>
        </w:rPr>
        <w:t>MetHb</w:t>
      </w:r>
      <w:proofErr w:type="spellEnd"/>
      <w:r w:rsidR="00A8753A" w:rsidRPr="00D20CD8">
        <w:rPr>
          <w:rFonts w:ascii="Arial" w:eastAsia="MinionPro-Regular" w:hAnsi="Arial" w:cs="Arial"/>
          <w:color w:val="000000"/>
          <w:kern w:val="0"/>
          <w:lang w:val="en-US"/>
        </w:rPr>
        <w:t xml:space="preserve"> </w:t>
      </w:r>
      <w:r w:rsidR="000953A8" w:rsidRPr="00D20CD8">
        <w:rPr>
          <w:rFonts w:ascii="Arial" w:eastAsia="MinionPro-Regular" w:hAnsi="Arial" w:cs="Arial"/>
          <w:color w:val="000000"/>
          <w:kern w:val="0"/>
          <w:lang w:val="en-US"/>
        </w:rPr>
        <w:t xml:space="preserve">gives </w:t>
      </w:r>
      <w:r w:rsidR="00A8753A" w:rsidRPr="00D20CD8">
        <w:rPr>
          <w:rFonts w:ascii="Arial" w:eastAsia="MinionPro-Regular" w:hAnsi="Arial" w:cs="Arial"/>
          <w:color w:val="000000"/>
          <w:kern w:val="0"/>
          <w:lang w:val="en-US"/>
        </w:rPr>
        <w:t xml:space="preserve">is characterize by </w:t>
      </w:r>
      <w:r w:rsidR="000953A8" w:rsidRPr="00D20CD8">
        <w:rPr>
          <w:rFonts w:ascii="Arial" w:eastAsia="MinionPro-Regular" w:hAnsi="Arial" w:cs="Arial"/>
          <w:color w:val="000000"/>
          <w:kern w:val="0"/>
          <w:lang w:val="en-US"/>
        </w:rPr>
        <w:t xml:space="preserve">a peak at 630 nm. </w:t>
      </w:r>
    </w:p>
    <w:p w14:paraId="69E25722" w14:textId="77777777" w:rsidR="00477797" w:rsidRDefault="00477797" w:rsidP="000953A8">
      <w:pPr>
        <w:autoSpaceDE w:val="0"/>
        <w:autoSpaceDN w:val="0"/>
        <w:adjustRightInd w:val="0"/>
        <w:spacing w:after="0" w:line="240" w:lineRule="auto"/>
        <w:jc w:val="both"/>
        <w:rPr>
          <w:rFonts w:ascii="Arial" w:eastAsia="MinionPro-Regular" w:hAnsi="Arial" w:cs="Arial"/>
          <w:color w:val="000000"/>
          <w:kern w:val="0"/>
          <w:lang w:val="en-US"/>
        </w:rPr>
      </w:pPr>
    </w:p>
    <w:p w14:paraId="2B35A95D" w14:textId="52CC1029" w:rsidR="00A8753A" w:rsidRPr="00D20CD8" w:rsidRDefault="00A8753A" w:rsidP="000953A8">
      <w:pPr>
        <w:autoSpaceDE w:val="0"/>
        <w:autoSpaceDN w:val="0"/>
        <w:adjustRightInd w:val="0"/>
        <w:spacing w:after="0" w:line="240" w:lineRule="auto"/>
        <w:jc w:val="both"/>
        <w:rPr>
          <w:rFonts w:ascii="Arial" w:eastAsia="MinionPro-Regular" w:hAnsi="Arial" w:cs="Arial"/>
          <w:color w:val="000000"/>
          <w:kern w:val="0"/>
          <w:lang w:val="en-US"/>
        </w:rPr>
      </w:pPr>
      <w:r w:rsidRPr="00D20CD8">
        <w:rPr>
          <w:rFonts w:ascii="Arial" w:eastAsia="MinionPro-Regular" w:hAnsi="Arial" w:cs="Arial"/>
          <w:color w:val="000000"/>
          <w:kern w:val="0"/>
          <w:lang w:val="en-US"/>
        </w:rPr>
        <w:t xml:space="preserve">As shown in Fig. </w:t>
      </w:r>
      <w:r w:rsidR="00284B01">
        <w:rPr>
          <w:rFonts w:ascii="Arial" w:eastAsia="MinionPro-Regular" w:hAnsi="Arial" w:cs="Arial"/>
          <w:color w:val="000000"/>
          <w:kern w:val="0"/>
          <w:lang w:val="en-US"/>
        </w:rPr>
        <w:t>S6</w:t>
      </w:r>
      <w:r w:rsidRPr="00D20CD8">
        <w:rPr>
          <w:rFonts w:ascii="Arial" w:eastAsia="MinionPro-Regular" w:hAnsi="Arial" w:cs="Arial"/>
          <w:color w:val="000000"/>
          <w:kern w:val="0"/>
          <w:lang w:val="en-US"/>
        </w:rPr>
        <w:t>, i</w:t>
      </w:r>
      <w:r w:rsidR="000953A8" w:rsidRPr="00D20CD8">
        <w:rPr>
          <w:rFonts w:ascii="Arial" w:eastAsia="MinionPro-Regular" w:hAnsi="Arial" w:cs="Arial"/>
          <w:color w:val="000000"/>
          <w:kern w:val="0"/>
          <w:lang w:val="en-US"/>
        </w:rPr>
        <w:t xml:space="preserve">n the </w:t>
      </w:r>
      <w:r w:rsidRPr="00D20CD8">
        <w:rPr>
          <w:rFonts w:ascii="Arial" w:eastAsia="MinionPro-Regular" w:hAnsi="Arial" w:cs="Arial"/>
          <w:color w:val="000000"/>
          <w:kern w:val="0"/>
          <w:lang w:val="en-US"/>
        </w:rPr>
        <w:t xml:space="preserve">supernatants </w:t>
      </w:r>
      <w:r w:rsidR="008555AE">
        <w:rPr>
          <w:rFonts w:ascii="Arial" w:eastAsia="MinionPro-Regular" w:hAnsi="Arial" w:cs="Arial"/>
          <w:color w:val="000000"/>
          <w:kern w:val="0"/>
          <w:lang w:val="en-US"/>
        </w:rPr>
        <w:t xml:space="preserve">obtained from </w:t>
      </w:r>
      <w:r w:rsidRPr="00D20CD8">
        <w:rPr>
          <w:rFonts w:ascii="Arial" w:eastAsia="MinionPro-Regular" w:hAnsi="Arial" w:cs="Arial"/>
          <w:color w:val="000000"/>
          <w:kern w:val="0"/>
          <w:lang w:val="en-US"/>
        </w:rPr>
        <w:t xml:space="preserve">AAPH </w:t>
      </w:r>
      <w:r w:rsidR="000953A8" w:rsidRPr="00D20CD8">
        <w:rPr>
          <w:rFonts w:ascii="Arial" w:eastAsia="MinionPro-Regular" w:hAnsi="Arial" w:cs="Arial"/>
          <w:color w:val="000000"/>
          <w:kern w:val="0"/>
          <w:lang w:val="en-US"/>
        </w:rPr>
        <w:t>sample</w:t>
      </w:r>
      <w:r w:rsidRPr="00D20CD8">
        <w:rPr>
          <w:rFonts w:ascii="Arial" w:eastAsia="MinionPro-Regular" w:hAnsi="Arial" w:cs="Arial"/>
          <w:color w:val="000000"/>
          <w:kern w:val="0"/>
          <w:lang w:val="en-US"/>
        </w:rPr>
        <w:t xml:space="preserve"> (red line)</w:t>
      </w:r>
      <w:r w:rsidR="000953A8" w:rsidRPr="00D20CD8">
        <w:rPr>
          <w:rFonts w:ascii="Arial" w:eastAsia="MinionPro-Regular" w:hAnsi="Arial" w:cs="Arial"/>
          <w:color w:val="000000"/>
          <w:kern w:val="0"/>
          <w:lang w:val="en-US"/>
        </w:rPr>
        <w:t>, the oxy-Hb peak decreases</w:t>
      </w:r>
      <w:r w:rsidRPr="00D20CD8">
        <w:rPr>
          <w:rFonts w:ascii="Arial" w:eastAsia="MinionPro-Regular" w:hAnsi="Arial" w:cs="Arial"/>
          <w:color w:val="000000"/>
          <w:kern w:val="0"/>
          <w:lang w:val="en-US"/>
        </w:rPr>
        <w:t xml:space="preserve"> </w:t>
      </w:r>
      <w:r w:rsidR="000953A8" w:rsidRPr="00D20CD8">
        <w:rPr>
          <w:rFonts w:ascii="Arial" w:eastAsia="MinionPro-Regular" w:hAnsi="Arial" w:cs="Arial"/>
          <w:color w:val="000000"/>
          <w:kern w:val="0"/>
          <w:lang w:val="en-US"/>
        </w:rPr>
        <w:t xml:space="preserve">and a </w:t>
      </w:r>
      <w:r w:rsidR="008555AE">
        <w:rPr>
          <w:rFonts w:ascii="Arial" w:eastAsia="MinionPro-Regular" w:hAnsi="Arial" w:cs="Arial"/>
          <w:color w:val="000000"/>
          <w:kern w:val="0"/>
          <w:lang w:val="en-US"/>
        </w:rPr>
        <w:t xml:space="preserve">specific </w:t>
      </w:r>
      <w:proofErr w:type="spellStart"/>
      <w:r w:rsidR="000953A8" w:rsidRPr="00D20CD8">
        <w:rPr>
          <w:rFonts w:ascii="Arial" w:eastAsia="MinionPro-Regular" w:hAnsi="Arial" w:cs="Arial"/>
          <w:color w:val="000000"/>
          <w:kern w:val="0"/>
          <w:lang w:val="en-US"/>
        </w:rPr>
        <w:t>MetHb</w:t>
      </w:r>
      <w:proofErr w:type="spellEnd"/>
      <w:r w:rsidR="000953A8" w:rsidRPr="00D20CD8">
        <w:rPr>
          <w:rFonts w:ascii="Arial" w:eastAsia="MinionPro-Regular" w:hAnsi="Arial" w:cs="Arial"/>
          <w:color w:val="000000"/>
          <w:kern w:val="0"/>
          <w:lang w:val="en-US"/>
        </w:rPr>
        <w:t xml:space="preserve"> </w:t>
      </w:r>
      <w:r w:rsidR="008555AE">
        <w:rPr>
          <w:rFonts w:ascii="Arial" w:eastAsia="MinionPro-Regular" w:hAnsi="Arial" w:cs="Arial"/>
          <w:color w:val="000000"/>
          <w:kern w:val="0"/>
          <w:lang w:val="en-US"/>
        </w:rPr>
        <w:t xml:space="preserve">peak </w:t>
      </w:r>
      <w:r w:rsidR="000953A8" w:rsidRPr="00D20CD8">
        <w:rPr>
          <w:rFonts w:ascii="Arial" w:eastAsia="MinionPro-Regular" w:hAnsi="Arial" w:cs="Arial"/>
          <w:color w:val="000000"/>
          <w:kern w:val="0"/>
          <w:lang w:val="en-US"/>
        </w:rPr>
        <w:t>appears (</w:t>
      </w:r>
      <w:r w:rsidR="008555AE">
        <w:rPr>
          <w:rFonts w:ascii="Arial" w:eastAsia="MinionPro-Regular" w:hAnsi="Arial" w:cs="Arial"/>
          <w:color w:val="000000"/>
          <w:kern w:val="0"/>
          <w:lang w:val="en-US"/>
        </w:rPr>
        <w:t xml:space="preserve">absorption values </w:t>
      </w:r>
      <w:r w:rsidRPr="00D20CD8">
        <w:rPr>
          <w:rFonts w:ascii="Arial" w:eastAsia="MinionPro-Regular" w:hAnsi="Arial" w:cs="Arial"/>
          <w:color w:val="000000"/>
          <w:kern w:val="0"/>
          <w:lang w:val="en-US"/>
        </w:rPr>
        <w:t>0.056</w:t>
      </w:r>
      <w:r w:rsidR="008555AE">
        <w:rPr>
          <w:rFonts w:ascii="Arial" w:eastAsia="MinionPro-Regular" w:hAnsi="Arial" w:cs="Arial"/>
          <w:color w:val="000000"/>
          <w:kern w:val="0"/>
          <w:lang w:val="en-US"/>
        </w:rPr>
        <w:t xml:space="preserve"> – Fig. </w:t>
      </w:r>
      <w:r w:rsidR="00284B01">
        <w:rPr>
          <w:rFonts w:ascii="Arial" w:eastAsia="MinionPro-Regular" w:hAnsi="Arial" w:cs="Arial"/>
          <w:color w:val="000000"/>
          <w:kern w:val="0"/>
          <w:lang w:val="en-US"/>
        </w:rPr>
        <w:t>S7</w:t>
      </w:r>
      <w:r w:rsidR="008555AE">
        <w:rPr>
          <w:rFonts w:ascii="Arial" w:eastAsia="MinionPro-Regular" w:hAnsi="Arial" w:cs="Arial"/>
          <w:color w:val="000000"/>
          <w:kern w:val="0"/>
          <w:lang w:val="en-US"/>
        </w:rPr>
        <w:t xml:space="preserve"> and its table</w:t>
      </w:r>
      <w:r w:rsidRPr="00D20CD8">
        <w:rPr>
          <w:rFonts w:ascii="Arial" w:eastAsia="MinionPro-Regular" w:hAnsi="Arial" w:cs="Arial"/>
          <w:color w:val="000000"/>
          <w:kern w:val="0"/>
          <w:lang w:val="en-US"/>
        </w:rPr>
        <w:t>)</w:t>
      </w:r>
      <w:r w:rsidR="000953A8" w:rsidRPr="00D20CD8">
        <w:rPr>
          <w:rFonts w:ascii="Arial" w:eastAsia="MinionPro-Regular" w:hAnsi="Arial" w:cs="Arial"/>
          <w:color w:val="000000"/>
          <w:kern w:val="0"/>
          <w:lang w:val="en-US"/>
        </w:rPr>
        <w:t xml:space="preserve">. In the presence of </w:t>
      </w:r>
      <w:r w:rsidRPr="00D20CD8">
        <w:rPr>
          <w:rFonts w:ascii="Arial" w:eastAsia="MinionPro-Regular" w:hAnsi="Arial" w:cs="Arial"/>
          <w:color w:val="000000"/>
          <w:kern w:val="0"/>
          <w:lang w:val="en-US"/>
        </w:rPr>
        <w:t>compounds 1-4,</w:t>
      </w:r>
      <w:r w:rsidR="000953A8" w:rsidRPr="00D20CD8">
        <w:rPr>
          <w:rFonts w:ascii="Arial" w:eastAsia="MinionPro-Regular" w:hAnsi="Arial" w:cs="Arial"/>
          <w:color w:val="000000"/>
          <w:kern w:val="0"/>
          <w:lang w:val="en-US"/>
        </w:rPr>
        <w:t xml:space="preserve"> the </w:t>
      </w:r>
      <w:proofErr w:type="spellStart"/>
      <w:r w:rsidR="000953A8" w:rsidRPr="00D20CD8">
        <w:rPr>
          <w:rFonts w:ascii="Arial" w:eastAsia="MinionPro-Regular" w:hAnsi="Arial" w:cs="Arial"/>
          <w:color w:val="000000"/>
          <w:kern w:val="0"/>
          <w:lang w:val="en-US"/>
        </w:rPr>
        <w:t>MethHb</w:t>
      </w:r>
      <w:proofErr w:type="spellEnd"/>
      <w:r w:rsidR="000953A8" w:rsidRPr="00D20CD8">
        <w:rPr>
          <w:rFonts w:ascii="Arial" w:eastAsia="MinionPro-Regular" w:hAnsi="Arial" w:cs="Arial"/>
          <w:color w:val="000000"/>
          <w:kern w:val="0"/>
          <w:lang w:val="en-US"/>
        </w:rPr>
        <w:t xml:space="preserve"> peak decreased</w:t>
      </w:r>
      <w:r w:rsidRPr="00D20CD8">
        <w:rPr>
          <w:rFonts w:ascii="Arial" w:eastAsia="MinionPro-Regular" w:hAnsi="Arial" w:cs="Arial"/>
          <w:color w:val="000000"/>
          <w:kern w:val="0"/>
          <w:lang w:val="en-US"/>
        </w:rPr>
        <w:t xml:space="preserve"> (from 0.038 to 0.029</w:t>
      </w:r>
      <w:r w:rsidR="008555AE">
        <w:rPr>
          <w:rFonts w:ascii="Arial" w:eastAsia="MinionPro-Regular" w:hAnsi="Arial" w:cs="Arial"/>
          <w:color w:val="000000"/>
          <w:kern w:val="0"/>
          <w:lang w:val="en-US"/>
        </w:rPr>
        <w:t xml:space="preserve">, </w:t>
      </w:r>
      <w:r w:rsidRPr="00D20CD8">
        <w:rPr>
          <w:rFonts w:ascii="Arial" w:eastAsia="MinionPro-Regular" w:hAnsi="Arial" w:cs="Arial"/>
          <w:color w:val="000000"/>
          <w:kern w:val="0"/>
          <w:lang w:val="en-US"/>
        </w:rPr>
        <w:t xml:space="preserve"> Fig. </w:t>
      </w:r>
      <w:r w:rsidR="00284B01">
        <w:rPr>
          <w:rFonts w:ascii="Arial" w:eastAsia="MinionPro-Regular" w:hAnsi="Arial" w:cs="Arial"/>
          <w:color w:val="000000"/>
          <w:kern w:val="0"/>
          <w:lang w:val="en-US"/>
        </w:rPr>
        <w:t>S7</w:t>
      </w:r>
      <w:r w:rsidR="008555AE">
        <w:rPr>
          <w:rFonts w:ascii="Arial" w:eastAsia="MinionPro-Regular" w:hAnsi="Arial" w:cs="Arial"/>
          <w:color w:val="000000"/>
          <w:kern w:val="0"/>
          <w:lang w:val="en-US"/>
        </w:rPr>
        <w:t xml:space="preserve"> and its table</w:t>
      </w:r>
      <w:r w:rsidRPr="00D20CD8">
        <w:rPr>
          <w:rFonts w:ascii="Arial" w:eastAsia="MinionPro-Regular" w:hAnsi="Arial" w:cs="Arial"/>
          <w:color w:val="000000"/>
          <w:kern w:val="0"/>
          <w:lang w:val="en-US"/>
        </w:rPr>
        <w:t>)</w:t>
      </w:r>
      <w:r w:rsidR="008555AE">
        <w:rPr>
          <w:rFonts w:ascii="Arial" w:eastAsia="MinionPro-Regular" w:hAnsi="Arial" w:cs="Arial"/>
          <w:color w:val="000000"/>
          <w:kern w:val="0"/>
          <w:lang w:val="en-US"/>
        </w:rPr>
        <w:t xml:space="preserve"> and </w:t>
      </w:r>
      <w:r w:rsidRPr="00D20CD8">
        <w:rPr>
          <w:rFonts w:ascii="Arial" w:eastAsia="MinionPro-Regular" w:hAnsi="Arial" w:cs="Arial"/>
          <w:color w:val="000000"/>
          <w:kern w:val="0"/>
          <w:lang w:val="en-US"/>
        </w:rPr>
        <w:t xml:space="preserve">compound 3 protects Hb better than </w:t>
      </w:r>
      <w:r w:rsidR="007A28EC">
        <w:rPr>
          <w:rFonts w:ascii="Arial" w:eastAsia="MinionPro-Regular" w:hAnsi="Arial" w:cs="Arial"/>
          <w:color w:val="000000"/>
          <w:kern w:val="0"/>
          <w:lang w:val="en-US"/>
        </w:rPr>
        <w:t xml:space="preserve">the </w:t>
      </w:r>
      <w:r w:rsidRPr="00D20CD8">
        <w:rPr>
          <w:rFonts w:ascii="Arial" w:eastAsia="MinionPro-Regular" w:hAnsi="Arial" w:cs="Arial"/>
          <w:color w:val="000000"/>
          <w:kern w:val="0"/>
          <w:lang w:val="en-US"/>
        </w:rPr>
        <w:t>standard antioxidant Trolox (0.29 and 0.031, respectively).</w:t>
      </w:r>
    </w:p>
    <w:p w14:paraId="44AF31D9" w14:textId="77777777" w:rsidR="007A28EC" w:rsidRDefault="007A28EC" w:rsidP="007A28EC">
      <w:pPr>
        <w:autoSpaceDE w:val="0"/>
        <w:autoSpaceDN w:val="0"/>
        <w:adjustRightInd w:val="0"/>
        <w:spacing w:after="0" w:line="240" w:lineRule="auto"/>
        <w:jc w:val="center"/>
        <w:rPr>
          <w:rFonts w:ascii="Arial" w:hAnsi="Arial" w:cs="Arial"/>
          <w:b/>
          <w:bCs/>
          <w:kern w:val="0"/>
          <w:lang w:val="en-US"/>
        </w:rPr>
      </w:pPr>
      <w:r>
        <w:rPr>
          <w:noProof/>
          <w:lang w:eastAsia="pl-PL"/>
        </w:rPr>
        <w:lastRenderedPageBreak/>
        <w:drawing>
          <wp:inline distT="0" distB="0" distL="0" distR="0" wp14:anchorId="3E5A82E4" wp14:editId="315C2D96">
            <wp:extent cx="5019900" cy="3209925"/>
            <wp:effectExtent l="0" t="0" r="9525" b="0"/>
            <wp:docPr id="3" name="Obraz 3"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wykres&#10;&#10;Opis wygenerowany automatycznie"/>
                    <pic:cNvPicPr/>
                  </pic:nvPicPr>
                  <pic:blipFill>
                    <a:blip r:embed="rId14" cstate="print"/>
                    <a:stretch>
                      <a:fillRect/>
                    </a:stretch>
                  </pic:blipFill>
                  <pic:spPr>
                    <a:xfrm>
                      <a:off x="0" y="0"/>
                      <a:ext cx="5025893" cy="3213757"/>
                    </a:xfrm>
                    <a:prstGeom prst="rect">
                      <a:avLst/>
                    </a:prstGeom>
                  </pic:spPr>
                </pic:pic>
              </a:graphicData>
            </a:graphic>
          </wp:inline>
        </w:drawing>
      </w:r>
    </w:p>
    <w:p w14:paraId="10181C3D" w14:textId="77777777" w:rsidR="007A28EC" w:rsidRDefault="007A28EC" w:rsidP="00BB3F99">
      <w:pPr>
        <w:autoSpaceDE w:val="0"/>
        <w:autoSpaceDN w:val="0"/>
        <w:adjustRightInd w:val="0"/>
        <w:spacing w:after="0" w:line="240" w:lineRule="auto"/>
        <w:jc w:val="both"/>
        <w:rPr>
          <w:rFonts w:ascii="Arial" w:hAnsi="Arial" w:cs="Arial"/>
          <w:b/>
          <w:bCs/>
          <w:kern w:val="0"/>
          <w:lang w:val="en-US"/>
        </w:rPr>
      </w:pPr>
    </w:p>
    <w:p w14:paraId="080011CD" w14:textId="363F2917" w:rsidR="00BB3F99" w:rsidRPr="00DA7A2E" w:rsidRDefault="00BB3F99" w:rsidP="00BB3F99">
      <w:pPr>
        <w:autoSpaceDE w:val="0"/>
        <w:autoSpaceDN w:val="0"/>
        <w:adjustRightInd w:val="0"/>
        <w:spacing w:after="0" w:line="240" w:lineRule="auto"/>
        <w:jc w:val="both"/>
        <w:rPr>
          <w:rFonts w:ascii="Arial" w:hAnsi="Arial" w:cs="Arial"/>
          <w:sz w:val="20"/>
          <w:szCs w:val="20"/>
          <w:lang w:val="en-US"/>
        </w:rPr>
      </w:pPr>
      <w:r w:rsidRPr="00DA7A2E">
        <w:rPr>
          <w:rFonts w:ascii="Arial" w:hAnsi="Arial" w:cs="Arial"/>
          <w:b/>
          <w:bCs/>
          <w:kern w:val="0"/>
          <w:sz w:val="20"/>
          <w:szCs w:val="20"/>
          <w:lang w:val="en-US"/>
        </w:rPr>
        <w:t xml:space="preserve">Figure </w:t>
      </w:r>
      <w:r w:rsidR="00284B01">
        <w:rPr>
          <w:rFonts w:ascii="Arial" w:hAnsi="Arial" w:cs="Arial"/>
          <w:b/>
          <w:bCs/>
          <w:kern w:val="0"/>
          <w:sz w:val="20"/>
          <w:szCs w:val="20"/>
          <w:lang w:val="en-US"/>
        </w:rPr>
        <w:t>S7</w:t>
      </w:r>
      <w:r w:rsidRPr="00DA7A2E">
        <w:rPr>
          <w:rFonts w:ascii="Arial" w:hAnsi="Arial" w:cs="Arial"/>
          <w:b/>
          <w:bCs/>
          <w:kern w:val="0"/>
          <w:sz w:val="20"/>
          <w:szCs w:val="20"/>
          <w:lang w:val="en-US"/>
        </w:rPr>
        <w:t xml:space="preserve">. </w:t>
      </w:r>
      <w:r w:rsidRPr="00DA7A2E">
        <w:rPr>
          <w:rFonts w:ascii="Arial" w:eastAsia="MinionPro-Regular" w:hAnsi="Arial" w:cs="Arial"/>
          <w:kern w:val="0"/>
          <w:sz w:val="20"/>
          <w:szCs w:val="20"/>
          <w:lang w:val="en-US"/>
        </w:rPr>
        <w:t>Spectral scans (450–700 nm) of hemoglobin (Hb) in supernatants after 4 h of incubation of RBC in 60 mM AAPH (red line), compounds 1-4 in 60 mM AAPH (different colors) and standard antioxidant Trolox (blue line)</w:t>
      </w:r>
      <w:r w:rsidR="007A28EC" w:rsidRPr="00DA7A2E">
        <w:rPr>
          <w:rFonts w:ascii="Arial" w:eastAsia="MinionPro-Regular" w:hAnsi="Arial" w:cs="Arial"/>
          <w:kern w:val="0"/>
          <w:sz w:val="20"/>
          <w:szCs w:val="20"/>
          <w:lang w:val="en-US"/>
        </w:rPr>
        <w:t xml:space="preserve"> used at 0.01 mg/</w:t>
      </w:r>
      <w:proofErr w:type="spellStart"/>
      <w:r w:rsidR="007A28EC" w:rsidRPr="00DA7A2E">
        <w:rPr>
          <w:rFonts w:ascii="Arial" w:eastAsia="MinionPro-Regular" w:hAnsi="Arial" w:cs="Arial"/>
          <w:kern w:val="0"/>
          <w:sz w:val="20"/>
          <w:szCs w:val="20"/>
          <w:lang w:val="en-US"/>
        </w:rPr>
        <w:t>mL</w:t>
      </w:r>
      <w:r w:rsidRPr="00DA7A2E">
        <w:rPr>
          <w:rFonts w:ascii="Arial" w:eastAsia="MinionPro-Regular" w:hAnsi="Arial" w:cs="Arial"/>
          <w:kern w:val="0"/>
          <w:sz w:val="20"/>
          <w:szCs w:val="20"/>
          <w:lang w:val="en-US"/>
        </w:rPr>
        <w:t>.</w:t>
      </w:r>
      <w:proofErr w:type="spellEnd"/>
      <w:r w:rsidRPr="00DA7A2E">
        <w:rPr>
          <w:rFonts w:ascii="Arial" w:eastAsia="MinionPro-Regular" w:hAnsi="Arial" w:cs="Arial"/>
          <w:kern w:val="0"/>
          <w:sz w:val="20"/>
          <w:szCs w:val="20"/>
          <w:lang w:val="en-US"/>
        </w:rPr>
        <w:t xml:space="preserve"> Absorbance values (Ab) measured at 540, 578 (oxy-Hb peaks), and 630 nm (</w:t>
      </w:r>
      <w:proofErr w:type="spellStart"/>
      <w:r w:rsidRPr="00DA7A2E">
        <w:rPr>
          <w:rFonts w:ascii="Arial" w:eastAsia="MinionPro-Regular" w:hAnsi="Arial" w:cs="Arial"/>
          <w:kern w:val="0"/>
          <w:sz w:val="20"/>
          <w:szCs w:val="20"/>
          <w:lang w:val="en-US"/>
        </w:rPr>
        <w:t>MetHb</w:t>
      </w:r>
      <w:proofErr w:type="spellEnd"/>
      <w:r w:rsidRPr="00DA7A2E">
        <w:rPr>
          <w:rFonts w:ascii="Arial" w:eastAsia="MinionPro-Regular" w:hAnsi="Arial" w:cs="Arial"/>
          <w:kern w:val="0"/>
          <w:sz w:val="20"/>
          <w:szCs w:val="20"/>
          <w:lang w:val="en-US"/>
        </w:rPr>
        <w:t xml:space="preserve"> peak) are presented for every scan. The representative data for a series of experiments are presented</w:t>
      </w:r>
    </w:p>
    <w:p w14:paraId="05B79D73" w14:textId="77777777" w:rsidR="00BB3F99" w:rsidRPr="00D20CD8" w:rsidRDefault="00BB3F99" w:rsidP="00BB3F99">
      <w:pPr>
        <w:pStyle w:val="MDPI22heading2"/>
        <w:ind w:left="0"/>
        <w:rPr>
          <w:rFonts w:ascii="Arial" w:hAnsi="Arial" w:cs="Arial"/>
          <w:sz w:val="22"/>
          <w:lang w:val="pt-BR"/>
        </w:rPr>
      </w:pPr>
    </w:p>
    <w:p w14:paraId="701FEC30" w14:textId="77777777" w:rsidR="00A8753A" w:rsidRPr="00D20CD8" w:rsidRDefault="00A8753A" w:rsidP="000D26DB">
      <w:pPr>
        <w:spacing w:after="0" w:line="240" w:lineRule="auto"/>
        <w:rPr>
          <w:rFonts w:ascii="Arial" w:hAnsi="Arial" w:cs="Arial"/>
          <w:lang w:val="en-US"/>
        </w:rPr>
      </w:pPr>
      <w:r w:rsidRPr="00D20CD8">
        <w:rPr>
          <w:rFonts w:ascii="Arial" w:hAnsi="Arial" w:cs="Arial"/>
          <w:b/>
          <w:bCs/>
          <w:lang w:val="en-US"/>
        </w:rPr>
        <w:t>Final conclusion</w:t>
      </w:r>
    </w:p>
    <w:p w14:paraId="13B4DC1C" w14:textId="77777777" w:rsidR="00DA7A2E" w:rsidRDefault="00AB7AA3" w:rsidP="000D26DB">
      <w:pPr>
        <w:spacing w:after="0" w:line="240" w:lineRule="auto"/>
        <w:jc w:val="both"/>
        <w:rPr>
          <w:rFonts w:ascii="Arial" w:hAnsi="Arial" w:cs="Arial"/>
          <w:lang w:val="en-US"/>
        </w:rPr>
      </w:pPr>
      <w:r>
        <w:rPr>
          <w:rFonts w:ascii="Arial" w:hAnsi="Arial" w:cs="Arial"/>
          <w:lang w:val="en-US"/>
        </w:rPr>
        <w:t>-</w:t>
      </w:r>
      <w:r w:rsidRPr="00AB7AA3">
        <w:rPr>
          <w:rFonts w:ascii="Arial" w:hAnsi="Arial" w:cs="Arial"/>
          <w:lang w:val="en-US"/>
        </w:rPr>
        <w:t xml:space="preserve"> </w:t>
      </w:r>
      <w:r w:rsidR="00DA7A2E">
        <w:rPr>
          <w:rFonts w:ascii="Arial" w:hAnsi="Arial" w:cs="Arial"/>
          <w:lang w:val="en-US"/>
        </w:rPr>
        <w:t>hemolytic activity of compounds 1-4 is a structure</w:t>
      </w:r>
      <w:r w:rsidR="000D26DB">
        <w:rPr>
          <w:rFonts w:ascii="Arial" w:hAnsi="Arial" w:cs="Arial"/>
          <w:lang w:val="en-US"/>
        </w:rPr>
        <w:t>-</w:t>
      </w:r>
      <w:r w:rsidR="00DA7A2E">
        <w:rPr>
          <w:rFonts w:ascii="Arial" w:hAnsi="Arial" w:cs="Arial"/>
          <w:lang w:val="en-US"/>
        </w:rPr>
        <w:t xml:space="preserve"> and a dose-dependent at the concentration </w:t>
      </w:r>
      <w:r w:rsidR="000D26DB">
        <w:rPr>
          <w:rFonts w:ascii="Arial" w:hAnsi="Arial" w:cs="Arial"/>
          <w:lang w:val="en-US"/>
        </w:rPr>
        <w:t xml:space="preserve">range from </w:t>
      </w:r>
      <w:r w:rsidR="00DA7A2E">
        <w:rPr>
          <w:rFonts w:ascii="Arial" w:hAnsi="Arial" w:cs="Arial"/>
          <w:lang w:val="en-US"/>
        </w:rPr>
        <w:t>0.01</w:t>
      </w:r>
      <w:r w:rsidR="000D26DB">
        <w:rPr>
          <w:rFonts w:ascii="Arial" w:hAnsi="Arial" w:cs="Arial"/>
          <w:lang w:val="en-US"/>
        </w:rPr>
        <w:t xml:space="preserve"> to </w:t>
      </w:r>
      <w:r w:rsidR="00DA7A2E">
        <w:rPr>
          <w:rFonts w:ascii="Arial" w:hAnsi="Arial" w:cs="Arial"/>
          <w:lang w:val="en-US"/>
        </w:rPr>
        <w:t>0.1 mg/mL</w:t>
      </w:r>
    </w:p>
    <w:p w14:paraId="1C6CDC97" w14:textId="77777777" w:rsidR="00DA7A2E" w:rsidRDefault="00DA7A2E" w:rsidP="000D26DB">
      <w:pPr>
        <w:spacing w:after="0" w:line="240" w:lineRule="auto"/>
        <w:jc w:val="both"/>
        <w:rPr>
          <w:rFonts w:ascii="Arial" w:hAnsi="Arial" w:cs="Arial"/>
          <w:lang w:val="en-US"/>
        </w:rPr>
      </w:pPr>
      <w:r>
        <w:rPr>
          <w:rFonts w:ascii="Arial" w:hAnsi="Arial" w:cs="Arial"/>
          <w:lang w:val="en-US"/>
        </w:rPr>
        <w:t xml:space="preserve">- at the concentration of 0.01 mg/mL all compounds are </w:t>
      </w:r>
      <w:proofErr w:type="spellStart"/>
      <w:r>
        <w:rPr>
          <w:rFonts w:ascii="Arial" w:hAnsi="Arial" w:cs="Arial"/>
          <w:lang w:val="en-US"/>
        </w:rPr>
        <w:t>hemocompatible</w:t>
      </w:r>
      <w:proofErr w:type="spellEnd"/>
      <w:r>
        <w:rPr>
          <w:rFonts w:ascii="Arial" w:hAnsi="Arial" w:cs="Arial"/>
          <w:lang w:val="en-US"/>
        </w:rPr>
        <w:t xml:space="preserve"> (</w:t>
      </w:r>
      <w:proofErr w:type="spellStart"/>
      <w:r w:rsidR="000D26DB">
        <w:rPr>
          <w:rFonts w:ascii="Arial" w:hAnsi="Arial" w:cs="Arial"/>
          <w:lang w:val="en-US"/>
        </w:rPr>
        <w:t>jhemolysis</w:t>
      </w:r>
      <w:proofErr w:type="spellEnd"/>
      <w:r w:rsidR="000D26DB">
        <w:rPr>
          <w:rFonts w:ascii="Arial" w:hAnsi="Arial" w:cs="Arial"/>
          <w:lang w:val="en-US"/>
        </w:rPr>
        <w:t xml:space="preserve"> degree&lt;5%) </w:t>
      </w:r>
      <w:r>
        <w:rPr>
          <w:rFonts w:ascii="Arial" w:hAnsi="Arial" w:cs="Arial"/>
          <w:lang w:val="en-US"/>
        </w:rPr>
        <w:t xml:space="preserve">and </w:t>
      </w:r>
      <w:r w:rsidR="00933DAA">
        <w:rPr>
          <w:rFonts w:ascii="Arial" w:hAnsi="Arial" w:cs="Arial"/>
          <w:lang w:val="en-US"/>
        </w:rPr>
        <w:t xml:space="preserve">they </w:t>
      </w:r>
      <w:r>
        <w:rPr>
          <w:rFonts w:ascii="Arial" w:hAnsi="Arial" w:cs="Arial"/>
          <w:lang w:val="en-US"/>
        </w:rPr>
        <w:t>can be used for potential biomedical applications</w:t>
      </w:r>
      <w:r w:rsidR="000D26DB">
        <w:rPr>
          <w:rFonts w:ascii="Arial" w:hAnsi="Arial" w:cs="Arial"/>
          <w:lang w:val="en-US"/>
        </w:rPr>
        <w:t xml:space="preserve"> </w:t>
      </w:r>
    </w:p>
    <w:p w14:paraId="17574C19" w14:textId="77777777" w:rsidR="00AB7AA3" w:rsidRDefault="00DA7A2E" w:rsidP="000D26DB">
      <w:pPr>
        <w:spacing w:after="0" w:line="240" w:lineRule="auto"/>
        <w:jc w:val="both"/>
        <w:rPr>
          <w:rFonts w:ascii="Arial" w:hAnsi="Arial" w:cs="Arial"/>
          <w:lang w:val="en-US"/>
        </w:rPr>
      </w:pPr>
      <w:r>
        <w:rPr>
          <w:rFonts w:ascii="Arial" w:hAnsi="Arial" w:cs="Arial"/>
          <w:lang w:val="en-US"/>
        </w:rPr>
        <w:t xml:space="preserve">- </w:t>
      </w:r>
      <w:r w:rsidR="000D26DB">
        <w:rPr>
          <w:rFonts w:ascii="Arial" w:hAnsi="Arial" w:cs="Arial"/>
          <w:lang w:val="en-US"/>
        </w:rPr>
        <w:t xml:space="preserve">all </w:t>
      </w:r>
      <w:r w:rsidR="00AB7AA3">
        <w:rPr>
          <w:rFonts w:ascii="Arial" w:hAnsi="Arial" w:cs="Arial"/>
          <w:lang w:val="en-US"/>
        </w:rPr>
        <w:t>c</w:t>
      </w:r>
      <w:r w:rsidR="00A8753A" w:rsidRPr="00AB7AA3">
        <w:rPr>
          <w:rFonts w:ascii="Arial" w:hAnsi="Arial" w:cs="Arial"/>
          <w:lang w:val="en-US"/>
        </w:rPr>
        <w:t xml:space="preserve">ompounds </w:t>
      </w:r>
      <w:r w:rsidR="00AB7AA3" w:rsidRPr="00AB7AA3">
        <w:rPr>
          <w:rFonts w:ascii="Arial" w:hAnsi="Arial" w:cs="Arial"/>
          <w:lang w:val="en-US"/>
        </w:rPr>
        <w:t xml:space="preserve">1-4 </w:t>
      </w:r>
      <w:r w:rsidR="00933DAA">
        <w:rPr>
          <w:rFonts w:ascii="Arial" w:hAnsi="Arial" w:cs="Arial"/>
          <w:lang w:val="en-US"/>
        </w:rPr>
        <w:t xml:space="preserve">inhibit </w:t>
      </w:r>
      <w:r w:rsidR="000D26DB">
        <w:rPr>
          <w:rFonts w:ascii="Arial" w:hAnsi="Arial" w:cs="Arial"/>
          <w:lang w:val="en-US"/>
        </w:rPr>
        <w:t>free radical</w:t>
      </w:r>
      <w:r w:rsidR="00933DAA">
        <w:rPr>
          <w:rFonts w:ascii="Arial" w:hAnsi="Arial" w:cs="Arial"/>
          <w:lang w:val="en-US"/>
        </w:rPr>
        <w:t>s-induced hemolysis a</w:t>
      </w:r>
      <w:r w:rsidR="00A8753A" w:rsidRPr="00AB7AA3">
        <w:rPr>
          <w:rFonts w:ascii="Arial" w:hAnsi="Arial" w:cs="Arial"/>
          <w:lang w:val="en-US"/>
        </w:rPr>
        <w:t xml:space="preserve">nd </w:t>
      </w:r>
      <w:r w:rsidR="00933DAA">
        <w:rPr>
          <w:rFonts w:ascii="Arial" w:hAnsi="Arial" w:cs="Arial"/>
          <w:lang w:val="en-US"/>
        </w:rPr>
        <w:t xml:space="preserve">protect </w:t>
      </w:r>
      <w:r w:rsidR="00D93E9F">
        <w:rPr>
          <w:rFonts w:ascii="Arial" w:hAnsi="Arial" w:cs="Arial"/>
          <w:lang w:val="en-US"/>
        </w:rPr>
        <w:t xml:space="preserve">hemoglobin </w:t>
      </w:r>
      <w:r w:rsidR="00A8753A" w:rsidRPr="00AB7AA3">
        <w:rPr>
          <w:rFonts w:ascii="Arial" w:hAnsi="Arial" w:cs="Arial"/>
          <w:lang w:val="en-US"/>
        </w:rPr>
        <w:t xml:space="preserve">against oxidation to </w:t>
      </w:r>
      <w:r w:rsidR="00D93E9F">
        <w:rPr>
          <w:rFonts w:ascii="Arial" w:hAnsi="Arial" w:cs="Arial"/>
          <w:lang w:val="en-US"/>
        </w:rPr>
        <w:t>methemoglobin</w:t>
      </w:r>
      <w:r w:rsidR="00933DAA">
        <w:rPr>
          <w:rFonts w:ascii="Arial" w:hAnsi="Arial" w:cs="Arial"/>
          <w:lang w:val="en-US"/>
        </w:rPr>
        <w:t xml:space="preserve"> in the structure-</w:t>
      </w:r>
      <w:r w:rsidR="0031237D">
        <w:rPr>
          <w:rFonts w:ascii="Arial" w:hAnsi="Arial" w:cs="Arial"/>
          <w:lang w:val="en-US"/>
        </w:rPr>
        <w:t>dependent</w:t>
      </w:r>
      <w:r w:rsidR="00933DAA">
        <w:rPr>
          <w:rFonts w:ascii="Arial" w:hAnsi="Arial" w:cs="Arial"/>
          <w:lang w:val="en-US"/>
        </w:rPr>
        <w:t xml:space="preserve"> manner</w:t>
      </w:r>
    </w:p>
    <w:p w14:paraId="0B0F1A40" w14:textId="61C0EA5F" w:rsidR="00BB3F99" w:rsidRPr="00AB7AA3" w:rsidRDefault="00AB7AA3" w:rsidP="000D26DB">
      <w:pPr>
        <w:spacing w:after="0" w:line="240" w:lineRule="auto"/>
        <w:jc w:val="both"/>
        <w:rPr>
          <w:rFonts w:ascii="Arial" w:hAnsi="Arial" w:cs="Arial"/>
          <w:lang w:val="pt-BR"/>
        </w:rPr>
      </w:pPr>
      <w:r>
        <w:rPr>
          <w:rFonts w:ascii="Arial" w:hAnsi="Arial" w:cs="Arial"/>
          <w:lang w:val="en-US"/>
        </w:rPr>
        <w:t>-</w:t>
      </w:r>
      <w:r w:rsidR="00A8753A" w:rsidRPr="00AB7AA3">
        <w:rPr>
          <w:rFonts w:ascii="Arial" w:hAnsi="Arial" w:cs="Arial"/>
          <w:lang w:val="en-US"/>
        </w:rPr>
        <w:t xml:space="preserve"> </w:t>
      </w:r>
      <w:r w:rsidR="000D26DB">
        <w:rPr>
          <w:rFonts w:ascii="Arial" w:hAnsi="Arial" w:cs="Arial"/>
          <w:lang w:val="en-US"/>
        </w:rPr>
        <w:t xml:space="preserve">compound 3 shows </w:t>
      </w:r>
      <w:r>
        <w:rPr>
          <w:rFonts w:ascii="Arial" w:hAnsi="Arial" w:cs="Arial"/>
          <w:lang w:val="en-US"/>
        </w:rPr>
        <w:t xml:space="preserve">the best cytoprotective activity </w:t>
      </w:r>
      <w:r w:rsidR="00A8753A" w:rsidRPr="00AB7AA3">
        <w:rPr>
          <w:rFonts w:ascii="Arial" w:hAnsi="Arial" w:cs="Arial"/>
          <w:lang w:val="en-US"/>
        </w:rPr>
        <w:t xml:space="preserve">as (a) </w:t>
      </w:r>
      <w:r w:rsidR="0031237D">
        <w:rPr>
          <w:rFonts w:ascii="Arial" w:hAnsi="Arial" w:cs="Arial"/>
          <w:lang w:val="en-US"/>
        </w:rPr>
        <w:t xml:space="preserve">a </w:t>
      </w:r>
      <w:r w:rsidR="00A8753A" w:rsidRPr="00AB7AA3">
        <w:rPr>
          <w:rFonts w:ascii="Arial" w:hAnsi="Arial" w:cs="Arial"/>
          <w:lang w:val="en-US"/>
        </w:rPr>
        <w:t xml:space="preserve">membrane </w:t>
      </w:r>
      <w:r w:rsidR="00D20CD8" w:rsidRPr="00AB7AA3">
        <w:rPr>
          <w:rFonts w:ascii="Arial" w:hAnsi="Arial" w:cs="Arial"/>
          <w:lang w:val="en-US"/>
        </w:rPr>
        <w:t xml:space="preserve">protective </w:t>
      </w:r>
      <w:r w:rsidR="0031237D">
        <w:rPr>
          <w:rFonts w:ascii="Arial" w:hAnsi="Arial" w:cs="Arial"/>
          <w:lang w:val="en-US"/>
        </w:rPr>
        <w:t xml:space="preserve">agent </w:t>
      </w:r>
      <w:r w:rsidR="00A8753A" w:rsidRPr="00AB7AA3">
        <w:rPr>
          <w:rFonts w:ascii="Arial" w:hAnsi="Arial" w:cs="Arial"/>
          <w:lang w:val="en-US"/>
        </w:rPr>
        <w:t>(inhibition of oxidative hemolysis</w:t>
      </w:r>
      <w:r w:rsidR="00D20CD8" w:rsidRPr="00AB7AA3">
        <w:rPr>
          <w:rFonts w:ascii="Arial" w:hAnsi="Arial" w:cs="Arial"/>
          <w:lang w:val="en-US"/>
        </w:rPr>
        <w:t xml:space="preserve"> – Fig. </w:t>
      </w:r>
      <w:r w:rsidR="00284B01">
        <w:rPr>
          <w:rFonts w:ascii="Arial" w:hAnsi="Arial" w:cs="Arial"/>
          <w:lang w:val="en-US"/>
        </w:rPr>
        <w:t>S5</w:t>
      </w:r>
      <w:r w:rsidR="00A8753A" w:rsidRPr="00AB7AA3">
        <w:rPr>
          <w:rFonts w:ascii="Arial" w:hAnsi="Arial" w:cs="Arial"/>
          <w:lang w:val="en-US"/>
        </w:rPr>
        <w:t xml:space="preserve">) and (b) </w:t>
      </w:r>
      <w:r w:rsidR="00D20CD8" w:rsidRPr="00AB7AA3">
        <w:rPr>
          <w:rFonts w:ascii="Arial" w:hAnsi="Arial" w:cs="Arial"/>
          <w:lang w:val="en-US"/>
        </w:rPr>
        <w:t xml:space="preserve">as </w:t>
      </w:r>
      <w:r w:rsidR="0031237D">
        <w:rPr>
          <w:rFonts w:ascii="Arial" w:hAnsi="Arial" w:cs="Arial"/>
          <w:lang w:val="en-US"/>
        </w:rPr>
        <w:t xml:space="preserve">a </w:t>
      </w:r>
      <w:r w:rsidR="00A8753A" w:rsidRPr="00AB7AA3">
        <w:rPr>
          <w:rFonts w:ascii="Arial" w:hAnsi="Arial" w:cs="Arial"/>
          <w:lang w:val="en-US"/>
        </w:rPr>
        <w:t xml:space="preserve">hemoglobin </w:t>
      </w:r>
      <w:r w:rsidR="00D20CD8" w:rsidRPr="00AB7AA3">
        <w:rPr>
          <w:rFonts w:ascii="Arial" w:hAnsi="Arial" w:cs="Arial"/>
          <w:lang w:val="en-US"/>
        </w:rPr>
        <w:t xml:space="preserve">protective </w:t>
      </w:r>
      <w:r w:rsidR="007A28EC" w:rsidRPr="00AB7AA3">
        <w:rPr>
          <w:rFonts w:ascii="Arial" w:hAnsi="Arial" w:cs="Arial"/>
          <w:lang w:val="en-US"/>
        </w:rPr>
        <w:t>agent</w:t>
      </w:r>
      <w:r w:rsidR="00D20CD8" w:rsidRPr="00AB7AA3">
        <w:rPr>
          <w:rFonts w:ascii="Arial" w:hAnsi="Arial" w:cs="Arial"/>
          <w:lang w:val="en-US"/>
        </w:rPr>
        <w:t xml:space="preserve"> </w:t>
      </w:r>
      <w:r w:rsidR="00A8753A" w:rsidRPr="00AB7AA3">
        <w:rPr>
          <w:rFonts w:ascii="Arial" w:hAnsi="Arial" w:cs="Arial"/>
          <w:lang w:val="en-US"/>
        </w:rPr>
        <w:t>(inhibition of Hb oxidation</w:t>
      </w:r>
      <w:r w:rsidR="00D20CD8" w:rsidRPr="00AB7AA3">
        <w:rPr>
          <w:rFonts w:ascii="Arial" w:hAnsi="Arial" w:cs="Arial"/>
          <w:lang w:val="en-US"/>
        </w:rPr>
        <w:t xml:space="preserve"> – Fig. </w:t>
      </w:r>
      <w:r w:rsidR="00284B01">
        <w:rPr>
          <w:rFonts w:ascii="Arial" w:hAnsi="Arial" w:cs="Arial"/>
          <w:lang w:val="en-US"/>
        </w:rPr>
        <w:t>S6</w:t>
      </w:r>
      <w:r w:rsidR="00A8753A" w:rsidRPr="00AB7AA3">
        <w:rPr>
          <w:rFonts w:ascii="Arial" w:hAnsi="Arial" w:cs="Arial"/>
          <w:lang w:val="en-US"/>
        </w:rPr>
        <w:t xml:space="preserve">). </w:t>
      </w:r>
    </w:p>
    <w:p w14:paraId="5D6EC172" w14:textId="77777777" w:rsidR="000D26DB" w:rsidRDefault="000D26DB" w:rsidP="00BB3F99">
      <w:pPr>
        <w:pStyle w:val="MDPI22heading2"/>
        <w:ind w:left="0"/>
        <w:rPr>
          <w:rFonts w:ascii="Arial" w:hAnsi="Arial" w:cs="Arial"/>
          <w:b/>
          <w:bCs/>
          <w:sz w:val="22"/>
          <w:lang w:val="pt-BR"/>
        </w:rPr>
      </w:pPr>
    </w:p>
    <w:p w14:paraId="7D001517" w14:textId="77777777" w:rsidR="0031237D" w:rsidRDefault="0031237D" w:rsidP="00BB3F99">
      <w:pPr>
        <w:pStyle w:val="MDPI22heading2"/>
        <w:ind w:left="0"/>
        <w:rPr>
          <w:rFonts w:ascii="Arial" w:hAnsi="Arial" w:cs="Arial"/>
          <w:b/>
          <w:bCs/>
          <w:sz w:val="22"/>
          <w:lang w:val="pt-BR"/>
        </w:rPr>
      </w:pPr>
    </w:p>
    <w:p w14:paraId="07361C07" w14:textId="77777777" w:rsidR="00BB3F99" w:rsidRDefault="00BB3F99" w:rsidP="00BB3F99">
      <w:pPr>
        <w:pStyle w:val="MDPI22heading2"/>
        <w:ind w:left="0"/>
        <w:rPr>
          <w:rFonts w:ascii="Arial" w:hAnsi="Arial" w:cs="Arial"/>
          <w:b/>
          <w:bCs/>
          <w:sz w:val="22"/>
          <w:lang w:val="pt-BR"/>
        </w:rPr>
      </w:pPr>
      <w:r w:rsidRPr="00D20CD8">
        <w:rPr>
          <w:rFonts w:ascii="Arial" w:hAnsi="Arial" w:cs="Arial"/>
          <w:b/>
          <w:bCs/>
          <w:sz w:val="22"/>
          <w:lang w:val="pt-BR"/>
        </w:rPr>
        <w:t>Materi</w:t>
      </w:r>
      <w:r w:rsidR="00D20CD8" w:rsidRPr="00D20CD8">
        <w:rPr>
          <w:rFonts w:ascii="Arial" w:hAnsi="Arial" w:cs="Arial"/>
          <w:b/>
          <w:bCs/>
          <w:sz w:val="22"/>
          <w:lang w:val="pt-BR"/>
        </w:rPr>
        <w:t>a</w:t>
      </w:r>
      <w:r w:rsidRPr="00D20CD8">
        <w:rPr>
          <w:rFonts w:ascii="Arial" w:hAnsi="Arial" w:cs="Arial"/>
          <w:b/>
          <w:bCs/>
          <w:sz w:val="22"/>
          <w:lang w:val="pt-BR"/>
        </w:rPr>
        <w:t>ls and methods</w:t>
      </w:r>
    </w:p>
    <w:p w14:paraId="41DDF802" w14:textId="77777777" w:rsidR="00D20CD8" w:rsidRPr="00D20CD8" w:rsidRDefault="00D20CD8" w:rsidP="00BB3F99">
      <w:pPr>
        <w:pStyle w:val="MDPI22heading2"/>
        <w:ind w:left="0"/>
        <w:rPr>
          <w:rFonts w:ascii="Arial" w:hAnsi="Arial" w:cs="Arial"/>
          <w:b/>
          <w:bCs/>
          <w:sz w:val="22"/>
          <w:lang w:val="pt-BR"/>
        </w:rPr>
      </w:pPr>
    </w:p>
    <w:p w14:paraId="7B8038CB" w14:textId="77777777" w:rsidR="00BB3F99" w:rsidRPr="00D20CD8" w:rsidRDefault="00BB3F99" w:rsidP="00BB3F99">
      <w:pPr>
        <w:pStyle w:val="MDPI23heading3"/>
        <w:ind w:left="0"/>
        <w:rPr>
          <w:rFonts w:ascii="Arial" w:hAnsi="Arial" w:cs="Arial"/>
          <w:i/>
          <w:iCs/>
          <w:sz w:val="22"/>
        </w:rPr>
      </w:pPr>
      <w:r w:rsidRPr="00D20CD8">
        <w:rPr>
          <w:rFonts w:ascii="Arial" w:hAnsi="Arial" w:cs="Arial"/>
          <w:i/>
          <w:iCs/>
          <w:sz w:val="22"/>
        </w:rPr>
        <w:t>Human erythrocyte preparation</w:t>
      </w:r>
    </w:p>
    <w:p w14:paraId="010FBC4F" w14:textId="77777777" w:rsidR="00BB3F99" w:rsidRPr="00D20CD8" w:rsidRDefault="00BB3F99" w:rsidP="00BB3F99">
      <w:pPr>
        <w:pStyle w:val="MDPI31text"/>
        <w:ind w:left="0"/>
        <w:rPr>
          <w:rFonts w:ascii="Arial" w:hAnsi="Arial" w:cs="Arial"/>
          <w:sz w:val="22"/>
        </w:rPr>
      </w:pPr>
      <w:r w:rsidRPr="00D20CD8">
        <w:rPr>
          <w:rFonts w:ascii="Arial" w:hAnsi="Arial" w:cs="Arial"/>
          <w:sz w:val="22"/>
        </w:rPr>
        <w:t xml:space="preserve">All methods were carried out following relevant guidelines and regulations, and the Bioethics Committee approved all experimental protocols for Scientific Research at the Medical University of </w:t>
      </w:r>
      <w:proofErr w:type="spellStart"/>
      <w:r w:rsidRPr="00D20CD8">
        <w:rPr>
          <w:rFonts w:ascii="Arial" w:hAnsi="Arial" w:cs="Arial"/>
          <w:sz w:val="22"/>
        </w:rPr>
        <w:t>Poznań</w:t>
      </w:r>
      <w:proofErr w:type="spellEnd"/>
      <w:r w:rsidRPr="00D20CD8">
        <w:rPr>
          <w:rFonts w:ascii="Arial" w:hAnsi="Arial" w:cs="Arial"/>
          <w:sz w:val="22"/>
        </w:rPr>
        <w:t xml:space="preserve"> (agreement no. ZP/2867/D/21). Human RBC concentrates were purchased from Blood Bank in </w:t>
      </w:r>
      <w:proofErr w:type="spellStart"/>
      <w:r w:rsidRPr="00D20CD8">
        <w:rPr>
          <w:rFonts w:ascii="Arial" w:hAnsi="Arial" w:cs="Arial"/>
          <w:sz w:val="22"/>
        </w:rPr>
        <w:t>Poznań</w:t>
      </w:r>
      <w:proofErr w:type="spellEnd"/>
      <w:r w:rsidRPr="00D20CD8">
        <w:rPr>
          <w:rFonts w:ascii="Arial" w:hAnsi="Arial" w:cs="Arial"/>
          <w:sz w:val="22"/>
        </w:rPr>
        <w:t xml:space="preserve"> without any contact with blood donors. </w:t>
      </w:r>
    </w:p>
    <w:p w14:paraId="53B7E037" w14:textId="77777777" w:rsidR="00BB3F99" w:rsidRPr="00D20CD8" w:rsidRDefault="00BB3F99" w:rsidP="00BB3F99">
      <w:pPr>
        <w:pStyle w:val="MDPI31text"/>
        <w:ind w:left="0"/>
        <w:rPr>
          <w:rFonts w:ascii="Arial" w:hAnsi="Arial" w:cs="Arial"/>
          <w:sz w:val="22"/>
        </w:rPr>
      </w:pPr>
      <w:r w:rsidRPr="00D20CD8">
        <w:rPr>
          <w:rFonts w:ascii="Arial" w:hAnsi="Arial" w:cs="Arial"/>
          <w:sz w:val="22"/>
        </w:rPr>
        <w:t xml:space="preserve">The erythrocytes were washed three times (3000 rpm, 10 min, +4°C) in 7.4 pH phosphate buffered saline (PBS: 137 mM NaCl, 2.7 mM </w:t>
      </w:r>
      <w:proofErr w:type="spellStart"/>
      <w:r w:rsidRPr="00D20CD8">
        <w:rPr>
          <w:rFonts w:ascii="Arial" w:hAnsi="Arial" w:cs="Arial"/>
          <w:sz w:val="22"/>
        </w:rPr>
        <w:t>KCl</w:t>
      </w:r>
      <w:proofErr w:type="spellEnd"/>
      <w:r w:rsidRPr="00D20CD8">
        <w:rPr>
          <w:rFonts w:ascii="Arial" w:hAnsi="Arial" w:cs="Arial"/>
          <w:sz w:val="22"/>
        </w:rPr>
        <w:t>, 10 mM Na</w:t>
      </w:r>
      <w:r w:rsidRPr="00D20CD8">
        <w:rPr>
          <w:rFonts w:ascii="Arial" w:hAnsi="Arial" w:cs="Arial"/>
          <w:sz w:val="22"/>
          <w:vertAlign w:val="subscript"/>
        </w:rPr>
        <w:t>2</w:t>
      </w:r>
      <w:r w:rsidRPr="00D20CD8">
        <w:rPr>
          <w:rFonts w:ascii="Arial" w:hAnsi="Arial" w:cs="Arial"/>
          <w:sz w:val="22"/>
        </w:rPr>
        <w:t>HPO</w:t>
      </w:r>
      <w:r w:rsidRPr="00D20CD8">
        <w:rPr>
          <w:rFonts w:ascii="Arial" w:hAnsi="Arial" w:cs="Arial"/>
          <w:sz w:val="22"/>
          <w:vertAlign w:val="subscript"/>
        </w:rPr>
        <w:t>4</w:t>
      </w:r>
      <w:r w:rsidRPr="00D20CD8">
        <w:rPr>
          <w:rFonts w:ascii="Arial" w:hAnsi="Arial" w:cs="Arial"/>
          <w:sz w:val="22"/>
        </w:rPr>
        <w:t>, 1.76 mM KH</w:t>
      </w:r>
      <w:r w:rsidRPr="00D20CD8">
        <w:rPr>
          <w:rFonts w:ascii="Arial" w:hAnsi="Arial" w:cs="Arial"/>
          <w:sz w:val="22"/>
          <w:vertAlign w:val="subscript"/>
        </w:rPr>
        <w:t>2</w:t>
      </w:r>
      <w:r w:rsidRPr="00D20CD8">
        <w:rPr>
          <w:rFonts w:ascii="Arial" w:hAnsi="Arial" w:cs="Arial"/>
          <w:sz w:val="22"/>
        </w:rPr>
        <w:t>PO</w:t>
      </w:r>
      <w:r w:rsidRPr="00D20CD8">
        <w:rPr>
          <w:rFonts w:ascii="Arial" w:hAnsi="Arial" w:cs="Arial"/>
          <w:sz w:val="22"/>
          <w:vertAlign w:val="subscript"/>
        </w:rPr>
        <w:t>4</w:t>
      </w:r>
      <w:r w:rsidRPr="00D20CD8">
        <w:rPr>
          <w:rFonts w:ascii="Arial" w:hAnsi="Arial" w:cs="Arial"/>
          <w:sz w:val="22"/>
        </w:rPr>
        <w:t>) supplemented with 10 mM glucose. After washing, RBC were suspended in the PBS buffer at 1.65x10</w:t>
      </w:r>
      <w:r w:rsidRPr="00D20CD8">
        <w:rPr>
          <w:rFonts w:ascii="Arial" w:hAnsi="Arial" w:cs="Arial"/>
          <w:sz w:val="22"/>
          <w:vertAlign w:val="superscript"/>
        </w:rPr>
        <w:t>9</w:t>
      </w:r>
      <w:r w:rsidRPr="00D20CD8">
        <w:rPr>
          <w:rFonts w:ascii="Arial" w:hAnsi="Arial" w:cs="Arial"/>
          <w:sz w:val="22"/>
        </w:rPr>
        <w:t xml:space="preserve"> cells/mL, stored at +4°C, and used within 5 h.</w:t>
      </w:r>
    </w:p>
    <w:p w14:paraId="50217CB1" w14:textId="77777777" w:rsidR="00BB3F99" w:rsidRPr="00D20CD8" w:rsidRDefault="00BB3F99" w:rsidP="00BB3F99">
      <w:pPr>
        <w:pStyle w:val="MDPI31text"/>
        <w:ind w:left="0"/>
        <w:rPr>
          <w:rFonts w:ascii="Arial" w:hAnsi="Arial" w:cs="Arial"/>
          <w:sz w:val="22"/>
          <w:highlight w:val="cyan"/>
        </w:rPr>
      </w:pPr>
    </w:p>
    <w:p w14:paraId="2FB96805" w14:textId="77777777" w:rsidR="00BB3F99" w:rsidRPr="00D20CD8" w:rsidRDefault="00BB3F99" w:rsidP="00BB3F99">
      <w:pPr>
        <w:pStyle w:val="MDPI23heading3"/>
        <w:ind w:left="0"/>
        <w:rPr>
          <w:rFonts w:ascii="Arial" w:hAnsi="Arial" w:cs="Arial"/>
          <w:i/>
          <w:iCs/>
          <w:sz w:val="22"/>
        </w:rPr>
      </w:pPr>
      <w:r w:rsidRPr="00D20CD8">
        <w:rPr>
          <w:rFonts w:ascii="Arial" w:hAnsi="Arial" w:cs="Arial"/>
          <w:i/>
          <w:iCs/>
          <w:sz w:val="22"/>
        </w:rPr>
        <w:t xml:space="preserve">Hemolytic assay </w:t>
      </w:r>
    </w:p>
    <w:p w14:paraId="76D859DC" w14:textId="46B503C6" w:rsidR="00BB3F99" w:rsidRPr="00D20CD8" w:rsidRDefault="00BB3F99" w:rsidP="00BB3F99">
      <w:pPr>
        <w:pStyle w:val="MDPI31text"/>
        <w:ind w:left="0"/>
        <w:rPr>
          <w:rFonts w:ascii="Arial" w:eastAsia="MyriadPro-Regular" w:hAnsi="Arial" w:cs="Arial"/>
          <w:sz w:val="22"/>
        </w:rPr>
      </w:pPr>
      <w:r w:rsidRPr="00D20CD8">
        <w:rPr>
          <w:rFonts w:ascii="Arial" w:hAnsi="Arial" w:cs="Arial"/>
          <w:sz w:val="22"/>
        </w:rPr>
        <w:t xml:space="preserve">The cytotoxic activity of the compounds tested was determined by a standard hemolytic assay according to </w:t>
      </w:r>
      <w:proofErr w:type="spellStart"/>
      <w:r w:rsidRPr="00D20CD8">
        <w:rPr>
          <w:rFonts w:ascii="Arial" w:hAnsi="Arial" w:cs="Arial"/>
          <w:sz w:val="22"/>
        </w:rPr>
        <w:t>Mrówczyńska</w:t>
      </w:r>
      <w:proofErr w:type="spellEnd"/>
      <w:r w:rsidRPr="00D20CD8">
        <w:rPr>
          <w:rFonts w:ascii="Arial" w:hAnsi="Arial" w:cs="Arial"/>
          <w:sz w:val="22"/>
        </w:rPr>
        <w:t xml:space="preserve"> and </w:t>
      </w:r>
      <w:proofErr w:type="spellStart"/>
      <w:r w:rsidRPr="00D20CD8">
        <w:rPr>
          <w:rFonts w:ascii="Arial" w:hAnsi="Arial" w:cs="Arial"/>
          <w:sz w:val="22"/>
        </w:rPr>
        <w:t>Hägerstrand</w:t>
      </w:r>
      <w:proofErr w:type="spellEnd"/>
      <w:r w:rsidR="00284B01">
        <w:rPr>
          <w:rFonts w:ascii="Arial" w:hAnsi="Arial" w:cs="Arial"/>
          <w:sz w:val="22"/>
        </w:rPr>
        <w:t xml:space="preserve"> [1</w:t>
      </w:r>
      <w:r w:rsidRPr="00D20CD8">
        <w:rPr>
          <w:rFonts w:ascii="Arial" w:hAnsi="Arial" w:cs="Arial"/>
          <w:sz w:val="22"/>
        </w:rPr>
        <w:t>]. Briefly, RBC (1.65x10</w:t>
      </w:r>
      <w:r w:rsidRPr="00D20CD8">
        <w:rPr>
          <w:rFonts w:ascii="Arial" w:hAnsi="Arial" w:cs="Arial"/>
          <w:sz w:val="22"/>
          <w:vertAlign w:val="superscript"/>
        </w:rPr>
        <w:t>8</w:t>
      </w:r>
      <w:r w:rsidRPr="00D20CD8">
        <w:rPr>
          <w:rFonts w:ascii="Arial" w:hAnsi="Arial" w:cs="Arial"/>
          <w:sz w:val="22"/>
        </w:rPr>
        <w:t xml:space="preserve"> cells/mL, </w:t>
      </w:r>
      <w:r w:rsidRPr="00D20CD8">
        <w:rPr>
          <w:rFonts w:ascii="Arial" w:hAnsi="Arial" w:cs="Arial"/>
          <w:sz w:val="22"/>
        </w:rPr>
        <w:lastRenderedPageBreak/>
        <w:t xml:space="preserve">~1.5% hematocrit) were incubated in PBS buffer (7.4 pH) supplemented with 10 mM glucose and containing compounds tested in different concentrations (0.1 mg/mL) for 60 min at 37°C under shaking. Samples with RBC incubated in PBS without compounds tested were taken as the negative control. Each sample was repeated three times, and the experiments were repeated 3 times (n=9) with RBC from different donors. After incubation, the RBC suspensions were centrifuged (3000 rpm, 10 min), and the degree of hemolysis was estimated by measuring the absorbance (Ab) of the supernatant at 540 nm. The results were expressed as a percentage (%) of hemolysis </w:t>
      </w:r>
      <w:r w:rsidRPr="00D20CD8">
        <w:rPr>
          <w:rFonts w:ascii="Arial" w:eastAsia="MyriadPro-Regular" w:hAnsi="Arial" w:cs="Arial"/>
          <w:sz w:val="22"/>
        </w:rPr>
        <w:t>which was determined using the following equation:</w:t>
      </w:r>
    </w:p>
    <w:p w14:paraId="64FC4927" w14:textId="77777777" w:rsidR="00BB3F99" w:rsidRPr="00D20CD8" w:rsidRDefault="00BB3F99" w:rsidP="00BB3F99">
      <w:pPr>
        <w:pStyle w:val="MDPI31text"/>
        <w:ind w:left="0"/>
        <w:rPr>
          <w:rFonts w:ascii="Arial" w:hAnsi="Arial" w:cs="Arial"/>
          <w:sz w:val="22"/>
        </w:rPr>
      </w:pPr>
    </w:p>
    <w:p w14:paraId="3D8F3D4D" w14:textId="77777777" w:rsidR="00BB3F99" w:rsidRPr="00D20CD8" w:rsidRDefault="00BB3F99" w:rsidP="00D20CD8">
      <w:pPr>
        <w:pStyle w:val="MDPI31text"/>
        <w:ind w:left="0"/>
        <w:jc w:val="center"/>
        <w:rPr>
          <w:rFonts w:ascii="Arial" w:hAnsi="Arial" w:cs="Arial"/>
          <w:sz w:val="22"/>
          <w:shd w:val="clear" w:color="auto" w:fill="FFFFFF"/>
        </w:rPr>
      </w:pPr>
      <w:r w:rsidRPr="00D20CD8">
        <w:rPr>
          <w:rFonts w:ascii="Arial" w:hAnsi="Arial" w:cs="Arial"/>
          <w:sz w:val="22"/>
          <w:shd w:val="clear" w:color="auto" w:fill="FFFFFF"/>
        </w:rPr>
        <w:t>hemolysis % = (sample Ab/positive control Ab) x 100</w:t>
      </w:r>
    </w:p>
    <w:p w14:paraId="3B2F8E89" w14:textId="77777777" w:rsidR="00BB3F99" w:rsidRPr="00D20CD8" w:rsidRDefault="00BB3F99" w:rsidP="00BB3F99">
      <w:pPr>
        <w:pStyle w:val="MDPI31text"/>
        <w:ind w:left="0"/>
        <w:rPr>
          <w:rFonts w:ascii="Arial" w:hAnsi="Arial" w:cs="Arial"/>
          <w:sz w:val="22"/>
          <w:highlight w:val="cyan"/>
          <w:shd w:val="clear" w:color="auto" w:fill="FFFFFF"/>
        </w:rPr>
      </w:pPr>
    </w:p>
    <w:p w14:paraId="2A7BF643" w14:textId="77777777" w:rsidR="00BB3F99" w:rsidRPr="00D20CD8" w:rsidRDefault="00BB3F99" w:rsidP="00BB3F99">
      <w:pPr>
        <w:pStyle w:val="MDPI31text"/>
        <w:ind w:left="0" w:hanging="56"/>
        <w:rPr>
          <w:rFonts w:ascii="Arial" w:eastAsia="MyriadPro-Regular" w:hAnsi="Arial" w:cs="Arial"/>
          <w:sz w:val="22"/>
        </w:rPr>
      </w:pPr>
      <w:r w:rsidRPr="00D20CD8">
        <w:rPr>
          <w:rFonts w:ascii="Arial" w:eastAsia="MyriadPro-Regular" w:hAnsi="Arial" w:cs="Arial"/>
          <w:sz w:val="22"/>
        </w:rPr>
        <w:t xml:space="preserve">were positive control is Ab value of supernatant </w:t>
      </w:r>
      <w:r w:rsidR="00D20CD8">
        <w:rPr>
          <w:rFonts w:ascii="Arial" w:eastAsia="MyriadPro-Regular" w:hAnsi="Arial" w:cs="Arial"/>
          <w:sz w:val="22"/>
        </w:rPr>
        <w:t xml:space="preserve">obtained from samples with </w:t>
      </w:r>
      <w:r w:rsidRPr="00D20CD8">
        <w:rPr>
          <w:rFonts w:ascii="Arial" w:eastAsia="MyriadPro-Regular" w:hAnsi="Arial" w:cs="Arial"/>
          <w:sz w:val="22"/>
        </w:rPr>
        <w:t>RBC in</w:t>
      </w:r>
      <w:r w:rsidR="00D20CD8">
        <w:rPr>
          <w:rFonts w:ascii="Arial" w:eastAsia="MyriadPro-Regular" w:hAnsi="Arial" w:cs="Arial"/>
          <w:sz w:val="22"/>
        </w:rPr>
        <w:t>cubated in</w:t>
      </w:r>
      <w:r w:rsidRPr="00D20CD8">
        <w:rPr>
          <w:rFonts w:ascii="Arial" w:eastAsia="MyriadPro-Regular" w:hAnsi="Arial" w:cs="Arial"/>
          <w:sz w:val="22"/>
        </w:rPr>
        <w:t xml:space="preserve"> ice-cold H</w:t>
      </w:r>
      <w:r w:rsidRPr="00D20CD8">
        <w:rPr>
          <w:rFonts w:ascii="Arial" w:eastAsia="MyriadPro-Regular" w:hAnsi="Arial" w:cs="Arial"/>
          <w:sz w:val="22"/>
          <w:vertAlign w:val="subscript"/>
        </w:rPr>
        <w:t>2</w:t>
      </w:r>
      <w:r w:rsidRPr="00D20CD8">
        <w:rPr>
          <w:rFonts w:ascii="Arial" w:eastAsia="MyriadPro-Regular" w:hAnsi="Arial" w:cs="Arial"/>
          <w:sz w:val="22"/>
        </w:rPr>
        <w:t xml:space="preserve">O. </w:t>
      </w:r>
    </w:p>
    <w:p w14:paraId="70A32FAB" w14:textId="77777777" w:rsidR="00BB3F99" w:rsidRDefault="00BB3F99" w:rsidP="00BB3F99">
      <w:pPr>
        <w:pStyle w:val="MDPI31text"/>
        <w:ind w:left="0"/>
        <w:rPr>
          <w:rFonts w:ascii="Arial" w:hAnsi="Arial" w:cs="Arial"/>
          <w:sz w:val="22"/>
          <w:highlight w:val="cyan"/>
        </w:rPr>
      </w:pPr>
    </w:p>
    <w:p w14:paraId="3F68B054" w14:textId="77777777" w:rsidR="00D20CD8" w:rsidRPr="00D20CD8" w:rsidRDefault="00D20CD8" w:rsidP="00BB3F99">
      <w:pPr>
        <w:pStyle w:val="MDPI31text"/>
        <w:ind w:left="0"/>
        <w:rPr>
          <w:rFonts w:ascii="Arial" w:hAnsi="Arial" w:cs="Arial"/>
          <w:sz w:val="22"/>
          <w:highlight w:val="cyan"/>
        </w:rPr>
      </w:pPr>
    </w:p>
    <w:p w14:paraId="2E414E13" w14:textId="77777777" w:rsidR="00BB3F99" w:rsidRPr="00D20CD8" w:rsidRDefault="00BB3F99" w:rsidP="00BB3F99">
      <w:pPr>
        <w:pStyle w:val="MDPI23heading3"/>
        <w:ind w:left="0"/>
        <w:rPr>
          <w:rFonts w:ascii="Arial" w:hAnsi="Arial" w:cs="Arial"/>
          <w:i/>
          <w:iCs/>
          <w:sz w:val="22"/>
        </w:rPr>
      </w:pPr>
      <w:r w:rsidRPr="00D20CD8">
        <w:rPr>
          <w:rFonts w:ascii="Arial" w:hAnsi="Arial" w:cs="Arial"/>
          <w:i/>
          <w:iCs/>
          <w:sz w:val="22"/>
        </w:rPr>
        <w:t>Inhibition of free radical-induced hemolysis</w:t>
      </w:r>
    </w:p>
    <w:p w14:paraId="1A5CF44A" w14:textId="77777777" w:rsidR="00BB3F99" w:rsidRPr="00D20CD8" w:rsidRDefault="00BB3F99" w:rsidP="00BB3F99">
      <w:pPr>
        <w:pStyle w:val="MDPI31text"/>
        <w:ind w:left="0"/>
        <w:rPr>
          <w:rFonts w:ascii="Arial" w:hAnsi="Arial" w:cs="Arial"/>
          <w:sz w:val="22"/>
        </w:rPr>
      </w:pPr>
      <w:r w:rsidRPr="00D20CD8">
        <w:rPr>
          <w:rFonts w:ascii="Arial" w:hAnsi="Arial" w:cs="Arial"/>
          <w:sz w:val="22"/>
        </w:rPr>
        <w:t>RBC (1.65x10</w:t>
      </w:r>
      <w:r w:rsidRPr="00D20CD8">
        <w:rPr>
          <w:rFonts w:ascii="Arial" w:hAnsi="Arial" w:cs="Arial"/>
          <w:sz w:val="22"/>
          <w:vertAlign w:val="superscript"/>
        </w:rPr>
        <w:t>8</w:t>
      </w:r>
      <w:r w:rsidRPr="00D20CD8">
        <w:rPr>
          <w:rFonts w:ascii="Arial" w:hAnsi="Arial" w:cs="Arial"/>
          <w:sz w:val="22"/>
        </w:rPr>
        <w:t xml:space="preserve"> cells/mL, ~1.5% hematocrit) were incubated in PBS buffer (pH 7.4) supplemented with 10 mM glucose and containing compounds tested (0.1 mg/mL) for 20 min at 37°C under shaking. After pre-incubation, 2,2'-azobis(2-methylpropionamidine) dihydrochloride (AAPH) was added at the final concentration of 60 </w:t>
      </w:r>
      <w:proofErr w:type="spellStart"/>
      <w:r w:rsidRPr="00D20CD8">
        <w:rPr>
          <w:rFonts w:ascii="Arial" w:hAnsi="Arial" w:cs="Arial"/>
          <w:sz w:val="22"/>
        </w:rPr>
        <w:t>mM.</w:t>
      </w:r>
      <w:proofErr w:type="spellEnd"/>
      <w:r w:rsidRPr="00D20CD8">
        <w:rPr>
          <w:rFonts w:ascii="Arial" w:hAnsi="Arial" w:cs="Arial"/>
          <w:sz w:val="22"/>
        </w:rPr>
        <w:t xml:space="preserve"> Samples were incubated for the next 4 h at 37°C under shaking. Erythrocytes incubated in PBS only and in the presence of AAPH, were taken as the negative and positive controls, respectively. After incubation, the erythrocyte suspensions were centrifuged (4000 rpm, 5 min, +4</w:t>
      </w:r>
      <w:r w:rsidRPr="00D20CD8">
        <w:rPr>
          <w:rFonts w:ascii="Arial" w:hAnsi="Arial" w:cs="Arial"/>
          <w:sz w:val="22"/>
        </w:rPr>
        <w:sym w:font="Symbol" w:char="F0B0"/>
      </w:r>
      <w:r w:rsidRPr="00D20CD8">
        <w:rPr>
          <w:rFonts w:ascii="Arial" w:hAnsi="Arial" w:cs="Arial"/>
          <w:sz w:val="22"/>
        </w:rPr>
        <w:t xml:space="preserve"> C), and the degree of hemolysis was determined by measuring the absorbance (Ab) of the supernatant at 540 nm in a spectrophotometer. The percentage of inhibition was calculated using the following equation:</w:t>
      </w:r>
    </w:p>
    <w:p w14:paraId="7B1475FF" w14:textId="77777777" w:rsidR="00BB3F99" w:rsidRPr="00D20CD8" w:rsidRDefault="00BB3F99" w:rsidP="00BB3F99">
      <w:pPr>
        <w:pStyle w:val="MDPI31text"/>
        <w:ind w:left="0"/>
        <w:rPr>
          <w:rFonts w:ascii="Arial" w:hAnsi="Arial" w:cs="Arial"/>
          <w:sz w:val="22"/>
        </w:rPr>
      </w:pPr>
    </w:p>
    <w:p w14:paraId="5AFFC3E7" w14:textId="77777777" w:rsidR="00BB3F99" w:rsidRPr="00D20CD8" w:rsidRDefault="00BB3F99" w:rsidP="00D20CD8">
      <w:pPr>
        <w:pStyle w:val="MDPI31text"/>
        <w:ind w:left="0"/>
        <w:jc w:val="center"/>
        <w:rPr>
          <w:rFonts w:ascii="Arial" w:hAnsi="Arial" w:cs="Arial"/>
          <w:sz w:val="22"/>
        </w:rPr>
      </w:pPr>
      <w:r w:rsidRPr="00D20CD8">
        <w:rPr>
          <w:rFonts w:ascii="Arial" w:hAnsi="Arial" w:cs="Arial"/>
          <w:sz w:val="22"/>
        </w:rPr>
        <w:t>Inhibition of hemolysis (%) = 100 – [(</w:t>
      </w:r>
      <w:proofErr w:type="spellStart"/>
      <w:r w:rsidRPr="00D20CD8">
        <w:rPr>
          <w:rFonts w:ascii="Arial" w:hAnsi="Arial" w:cs="Arial"/>
          <w:sz w:val="22"/>
        </w:rPr>
        <w:t>Ab</w:t>
      </w:r>
      <w:r w:rsidRPr="00D20CD8">
        <w:rPr>
          <w:rFonts w:ascii="Arial" w:hAnsi="Arial" w:cs="Arial"/>
          <w:sz w:val="22"/>
          <w:vertAlign w:val="subscript"/>
        </w:rPr>
        <w:t>sample</w:t>
      </w:r>
      <w:proofErr w:type="spellEnd"/>
      <w:r w:rsidRPr="00D20CD8">
        <w:rPr>
          <w:rFonts w:ascii="Arial" w:hAnsi="Arial" w:cs="Arial"/>
          <w:sz w:val="22"/>
        </w:rPr>
        <w:t>/</w:t>
      </w:r>
      <w:proofErr w:type="spellStart"/>
      <w:r w:rsidRPr="00D20CD8">
        <w:rPr>
          <w:rFonts w:ascii="Arial" w:hAnsi="Arial" w:cs="Arial"/>
          <w:sz w:val="22"/>
        </w:rPr>
        <w:t>Ab</w:t>
      </w:r>
      <w:r w:rsidRPr="00D20CD8">
        <w:rPr>
          <w:rFonts w:ascii="Arial" w:hAnsi="Arial" w:cs="Arial"/>
          <w:sz w:val="22"/>
          <w:vertAlign w:val="subscript"/>
        </w:rPr>
        <w:t>AAPH</w:t>
      </w:r>
      <w:proofErr w:type="spellEnd"/>
      <w:r w:rsidRPr="00D20CD8">
        <w:rPr>
          <w:rFonts w:ascii="Arial" w:hAnsi="Arial" w:cs="Arial"/>
          <w:sz w:val="22"/>
        </w:rPr>
        <w:t>) x 100%]</w:t>
      </w:r>
    </w:p>
    <w:p w14:paraId="210B4FF5" w14:textId="77777777" w:rsidR="00BB3F99" w:rsidRPr="00D20CD8" w:rsidRDefault="00BB3F99" w:rsidP="00BB3F99">
      <w:pPr>
        <w:pStyle w:val="MDPI31text"/>
        <w:ind w:left="0" w:firstLine="0"/>
        <w:rPr>
          <w:rFonts w:ascii="Arial" w:hAnsi="Arial" w:cs="Arial"/>
          <w:sz w:val="22"/>
          <w:highlight w:val="cyan"/>
        </w:rPr>
      </w:pPr>
    </w:p>
    <w:p w14:paraId="4A073814" w14:textId="77777777" w:rsidR="00BB3F99" w:rsidRPr="00D20CD8" w:rsidRDefault="00BB3F99" w:rsidP="00BB3F99">
      <w:pPr>
        <w:pStyle w:val="MDPI31text"/>
        <w:ind w:left="0" w:firstLine="0"/>
        <w:rPr>
          <w:rFonts w:ascii="Arial" w:hAnsi="Arial" w:cs="Arial"/>
          <w:sz w:val="22"/>
        </w:rPr>
      </w:pPr>
      <w:r w:rsidRPr="00D20CD8">
        <w:rPr>
          <w:rFonts w:ascii="Arial" w:hAnsi="Arial" w:cs="Arial"/>
          <w:sz w:val="22"/>
        </w:rPr>
        <w:t xml:space="preserve">where </w:t>
      </w:r>
      <w:proofErr w:type="spellStart"/>
      <w:r w:rsidRPr="00D20CD8">
        <w:rPr>
          <w:rFonts w:ascii="Arial" w:hAnsi="Arial" w:cs="Arial"/>
          <w:sz w:val="22"/>
        </w:rPr>
        <w:t>Ab</w:t>
      </w:r>
      <w:r w:rsidRPr="00D20CD8">
        <w:rPr>
          <w:rFonts w:ascii="Arial" w:hAnsi="Arial" w:cs="Arial"/>
          <w:sz w:val="22"/>
          <w:vertAlign w:val="subscript"/>
        </w:rPr>
        <w:t>sample</w:t>
      </w:r>
      <w:proofErr w:type="spellEnd"/>
      <w:r w:rsidRPr="00D20CD8">
        <w:rPr>
          <w:rFonts w:ascii="Arial" w:hAnsi="Arial" w:cs="Arial"/>
          <w:sz w:val="22"/>
        </w:rPr>
        <w:t xml:space="preserve"> is the absorbance value of supernatant obtained from samples incubated with compounds tested in the presence of AAPH</w:t>
      </w:r>
      <w:r w:rsidR="00D20CD8">
        <w:rPr>
          <w:rFonts w:ascii="Arial" w:hAnsi="Arial" w:cs="Arial"/>
          <w:sz w:val="22"/>
        </w:rPr>
        <w:t>,</w:t>
      </w:r>
      <w:r w:rsidRPr="00D20CD8">
        <w:rPr>
          <w:rFonts w:ascii="Arial" w:hAnsi="Arial" w:cs="Arial"/>
          <w:sz w:val="22"/>
        </w:rPr>
        <w:t xml:space="preserve"> and </w:t>
      </w:r>
      <w:proofErr w:type="spellStart"/>
      <w:r w:rsidRPr="00D20CD8">
        <w:rPr>
          <w:rFonts w:ascii="Arial" w:hAnsi="Arial" w:cs="Arial"/>
          <w:sz w:val="22"/>
        </w:rPr>
        <w:t>Ab</w:t>
      </w:r>
      <w:r w:rsidRPr="00D20CD8">
        <w:rPr>
          <w:rFonts w:ascii="Arial" w:hAnsi="Arial" w:cs="Arial"/>
          <w:sz w:val="22"/>
          <w:vertAlign w:val="subscript"/>
        </w:rPr>
        <w:t>AAPH</w:t>
      </w:r>
      <w:proofErr w:type="spellEnd"/>
      <w:r w:rsidRPr="00D20CD8">
        <w:rPr>
          <w:rFonts w:ascii="Arial" w:hAnsi="Arial" w:cs="Arial"/>
          <w:sz w:val="22"/>
        </w:rPr>
        <w:t xml:space="preserve"> is the absorbance of supernatant obtained from </w:t>
      </w:r>
      <w:r w:rsidR="00D20CD8">
        <w:rPr>
          <w:rFonts w:ascii="Arial" w:hAnsi="Arial" w:cs="Arial"/>
          <w:sz w:val="22"/>
        </w:rPr>
        <w:t xml:space="preserve">samples with </w:t>
      </w:r>
      <w:r w:rsidRPr="00D20CD8">
        <w:rPr>
          <w:rFonts w:ascii="Arial" w:hAnsi="Arial" w:cs="Arial"/>
          <w:sz w:val="22"/>
        </w:rPr>
        <w:t>AAPH without compounds tested. Each sample was made at least in triplicate, and the results are presented as a mean value ± SD (n=</w:t>
      </w:r>
      <w:r w:rsidR="003B54D8">
        <w:rPr>
          <w:rFonts w:ascii="Arial" w:hAnsi="Arial" w:cs="Arial"/>
          <w:sz w:val="22"/>
        </w:rPr>
        <w:t>1</w:t>
      </w:r>
      <w:r w:rsidR="00CA093F">
        <w:rPr>
          <w:rFonts w:ascii="Arial" w:hAnsi="Arial" w:cs="Arial"/>
          <w:sz w:val="22"/>
        </w:rPr>
        <w:t>2</w:t>
      </w:r>
      <w:r w:rsidRPr="00D20CD8">
        <w:rPr>
          <w:rFonts w:ascii="Arial" w:hAnsi="Arial" w:cs="Arial"/>
          <w:sz w:val="22"/>
        </w:rPr>
        <w:t>-1</w:t>
      </w:r>
      <w:r w:rsidR="003B54D8">
        <w:rPr>
          <w:rFonts w:ascii="Arial" w:hAnsi="Arial" w:cs="Arial"/>
          <w:sz w:val="22"/>
        </w:rPr>
        <w:t>3</w:t>
      </w:r>
      <w:r w:rsidRPr="00D20CD8">
        <w:rPr>
          <w:rFonts w:ascii="Arial" w:hAnsi="Arial" w:cs="Arial"/>
          <w:sz w:val="22"/>
        </w:rPr>
        <w:t xml:space="preserve">) value of three independent experiments with RBC from different donors. </w:t>
      </w:r>
    </w:p>
    <w:p w14:paraId="11FF3B73" w14:textId="77777777" w:rsidR="00BB3F99" w:rsidRDefault="00BB3F99" w:rsidP="00BB3F99">
      <w:pPr>
        <w:pStyle w:val="MDPI31text"/>
        <w:ind w:left="0"/>
        <w:rPr>
          <w:rFonts w:ascii="Arial" w:hAnsi="Arial" w:cs="Arial"/>
          <w:sz w:val="22"/>
          <w:highlight w:val="cyan"/>
          <w:lang w:val="en-GB"/>
        </w:rPr>
      </w:pPr>
    </w:p>
    <w:p w14:paraId="079858A3" w14:textId="77777777" w:rsidR="007A28EC" w:rsidRPr="007A28EC" w:rsidRDefault="007A28EC" w:rsidP="00BB3F99">
      <w:pPr>
        <w:pStyle w:val="MDPI31text"/>
        <w:ind w:left="0"/>
        <w:rPr>
          <w:rFonts w:ascii="Arial" w:hAnsi="Arial" w:cs="Arial"/>
          <w:sz w:val="22"/>
          <w:highlight w:val="cyan"/>
          <w:lang w:val="en-GB"/>
        </w:rPr>
      </w:pPr>
    </w:p>
    <w:p w14:paraId="7A8D1EFB" w14:textId="77777777" w:rsidR="007A28EC" w:rsidRPr="007A28EC" w:rsidRDefault="007A28EC" w:rsidP="007A28EC">
      <w:pPr>
        <w:autoSpaceDE w:val="0"/>
        <w:autoSpaceDN w:val="0"/>
        <w:adjustRightInd w:val="0"/>
        <w:spacing w:after="0" w:line="240" w:lineRule="auto"/>
        <w:rPr>
          <w:rFonts w:ascii="Arial" w:eastAsia="Corbel-Bold" w:hAnsi="Arial" w:cs="Arial"/>
          <w:b/>
          <w:bCs/>
          <w:i/>
          <w:iCs/>
          <w:color w:val="000000"/>
          <w:kern w:val="0"/>
          <w:lang w:val="en-US"/>
        </w:rPr>
      </w:pPr>
      <w:r w:rsidRPr="007A28EC">
        <w:rPr>
          <w:rFonts w:ascii="Arial" w:eastAsia="Corbel-Bold" w:hAnsi="Arial" w:cs="Arial"/>
          <w:i/>
          <w:iCs/>
          <w:color w:val="000000"/>
          <w:kern w:val="0"/>
          <w:lang w:val="en-US"/>
        </w:rPr>
        <w:t>H</w:t>
      </w:r>
      <w:r w:rsidR="0071455D">
        <w:rPr>
          <w:rFonts w:ascii="Arial" w:eastAsia="Corbel-Bold" w:hAnsi="Arial" w:cs="Arial"/>
          <w:i/>
          <w:iCs/>
          <w:color w:val="000000"/>
          <w:kern w:val="0"/>
          <w:lang w:val="en-US"/>
        </w:rPr>
        <w:t xml:space="preserve">emoglobin </w:t>
      </w:r>
      <w:r w:rsidRPr="007A28EC">
        <w:rPr>
          <w:rFonts w:ascii="Arial" w:eastAsia="Corbel-Bold" w:hAnsi="Arial" w:cs="Arial"/>
          <w:i/>
          <w:iCs/>
          <w:color w:val="000000"/>
          <w:kern w:val="0"/>
          <w:lang w:val="en-US"/>
        </w:rPr>
        <w:t>spectral scans evaluation</w:t>
      </w:r>
      <w:r w:rsidRPr="007A28EC">
        <w:rPr>
          <w:rFonts w:ascii="Arial" w:eastAsia="Corbel-Bold" w:hAnsi="Arial" w:cs="Arial"/>
          <w:b/>
          <w:bCs/>
          <w:i/>
          <w:iCs/>
          <w:color w:val="000000"/>
          <w:kern w:val="0"/>
          <w:lang w:val="en-US"/>
        </w:rPr>
        <w:t xml:space="preserve"> </w:t>
      </w:r>
    </w:p>
    <w:p w14:paraId="12EA851D" w14:textId="77777777" w:rsidR="007A28EC" w:rsidRPr="007A28EC" w:rsidRDefault="007A28EC" w:rsidP="007A28EC">
      <w:pPr>
        <w:autoSpaceDE w:val="0"/>
        <w:autoSpaceDN w:val="0"/>
        <w:adjustRightInd w:val="0"/>
        <w:spacing w:after="0" w:line="240" w:lineRule="auto"/>
        <w:jc w:val="both"/>
        <w:rPr>
          <w:rFonts w:ascii="Arial" w:hAnsi="Arial" w:cs="Arial"/>
          <w:color w:val="000000" w:themeColor="text1"/>
          <w:highlight w:val="cyan"/>
          <w:lang w:val="en-GB"/>
        </w:rPr>
      </w:pPr>
      <w:r w:rsidRPr="007A28EC">
        <w:rPr>
          <w:rFonts w:ascii="Arial" w:eastAsia="MinionPro-Regular" w:hAnsi="Arial" w:cs="Arial"/>
          <w:color w:val="000000"/>
          <w:kern w:val="0"/>
          <w:lang w:val="en-US"/>
        </w:rPr>
        <w:t>The absorption spectra of hemoglobin were scanned between the visible</w:t>
      </w:r>
      <w:r>
        <w:rPr>
          <w:rFonts w:ascii="Arial" w:eastAsia="MinionPro-Regular" w:hAnsi="Arial" w:cs="Arial"/>
          <w:color w:val="000000"/>
          <w:kern w:val="0"/>
          <w:lang w:val="en-US"/>
        </w:rPr>
        <w:t xml:space="preserve"> </w:t>
      </w:r>
      <w:r w:rsidRPr="007A28EC">
        <w:rPr>
          <w:rFonts w:ascii="Arial" w:eastAsia="MinionPro-Regular" w:hAnsi="Arial" w:cs="Arial"/>
          <w:color w:val="000000"/>
          <w:kern w:val="0"/>
          <w:lang w:val="en-US"/>
        </w:rPr>
        <w:t xml:space="preserve">range from 450 to 700 nm in </w:t>
      </w:r>
      <w:proofErr w:type="spellStart"/>
      <w:r w:rsidRPr="007A28EC">
        <w:rPr>
          <w:rFonts w:ascii="Arial" w:eastAsia="MinionPro-Regular" w:hAnsi="Arial" w:cs="Arial"/>
          <w:color w:val="000000"/>
          <w:kern w:val="0"/>
          <w:lang w:val="en-US"/>
        </w:rPr>
        <w:t>BioMate</w:t>
      </w:r>
      <w:proofErr w:type="spellEnd"/>
      <w:r w:rsidRPr="007A28EC">
        <w:rPr>
          <w:rFonts w:ascii="Arial" w:eastAsia="MinionPro-Regular" w:hAnsi="Arial" w:cs="Arial"/>
          <w:color w:val="000000"/>
          <w:kern w:val="0"/>
          <w:lang w:val="en-US"/>
        </w:rPr>
        <w:t>™ 160 UV–Vis spectrophotometer, using supernatants obtained from</w:t>
      </w:r>
      <w:r>
        <w:rPr>
          <w:rFonts w:ascii="Arial" w:eastAsia="MinionPro-Regular" w:hAnsi="Arial" w:cs="Arial"/>
          <w:color w:val="000000"/>
          <w:kern w:val="0"/>
          <w:lang w:val="en-US"/>
        </w:rPr>
        <w:t xml:space="preserve"> </w:t>
      </w:r>
      <w:r w:rsidRPr="007A28EC">
        <w:rPr>
          <w:rFonts w:ascii="Arial" w:eastAsia="MinionPro-Regular" w:hAnsi="Arial" w:cs="Arial"/>
          <w:color w:val="000000" w:themeColor="text1"/>
          <w:kern w:val="0"/>
          <w:lang w:val="en-US"/>
        </w:rPr>
        <w:t>samples obtained in the section “</w:t>
      </w:r>
      <w:r w:rsidRPr="007A28EC">
        <w:rPr>
          <w:rFonts w:ascii="Arial" w:eastAsia="MinionPro-Regular" w:hAnsi="Arial" w:cs="Arial"/>
          <w:i/>
          <w:iCs/>
          <w:color w:val="000000" w:themeColor="text1"/>
          <w:kern w:val="0"/>
          <w:lang w:val="en-US"/>
        </w:rPr>
        <w:t>Inhibition of free radical-induced hemolysis</w:t>
      </w:r>
      <w:r w:rsidRPr="007A28EC">
        <w:rPr>
          <w:rFonts w:ascii="Arial" w:eastAsia="MinionPro-Regular" w:hAnsi="Arial" w:cs="Arial"/>
          <w:color w:val="000000" w:themeColor="text1"/>
          <w:kern w:val="0"/>
          <w:lang w:val="en-US"/>
        </w:rPr>
        <w:t xml:space="preserve">”. </w:t>
      </w:r>
    </w:p>
    <w:p w14:paraId="4A015BD0" w14:textId="77777777" w:rsidR="00BB3F99" w:rsidRPr="00D20CD8" w:rsidRDefault="00BB3F99" w:rsidP="00BB3F99">
      <w:pPr>
        <w:pStyle w:val="MDPI23heading3"/>
        <w:ind w:left="0"/>
        <w:rPr>
          <w:rFonts w:ascii="Arial" w:hAnsi="Arial" w:cs="Arial"/>
          <w:i/>
          <w:iCs/>
          <w:sz w:val="22"/>
        </w:rPr>
      </w:pPr>
      <w:r w:rsidRPr="00D20CD8">
        <w:rPr>
          <w:rFonts w:ascii="Arial" w:hAnsi="Arial" w:cs="Arial"/>
          <w:i/>
          <w:iCs/>
          <w:sz w:val="22"/>
        </w:rPr>
        <w:t xml:space="preserve">Statistical analysis </w:t>
      </w:r>
    </w:p>
    <w:p w14:paraId="312C0FD5" w14:textId="77777777" w:rsidR="00A915EA" w:rsidRDefault="00BB3F99" w:rsidP="00A915EA">
      <w:pPr>
        <w:autoSpaceDE w:val="0"/>
        <w:autoSpaceDN w:val="0"/>
        <w:adjustRightInd w:val="0"/>
        <w:spacing w:after="0" w:line="240" w:lineRule="auto"/>
        <w:jc w:val="both"/>
        <w:rPr>
          <w:rFonts w:ascii="Arial" w:hAnsi="Arial" w:cs="Arial"/>
          <w:kern w:val="0"/>
          <w:lang w:val="en-US"/>
        </w:rPr>
      </w:pPr>
      <w:bookmarkStart w:id="0" w:name="_Hlk75902623"/>
      <w:r w:rsidRPr="00D20CD8">
        <w:rPr>
          <w:rFonts w:ascii="Arial" w:hAnsi="Arial" w:cs="Arial"/>
          <w:lang w:val="en-US"/>
        </w:rPr>
        <w:t xml:space="preserve">For </w:t>
      </w:r>
      <w:r w:rsidR="00D20CD8">
        <w:rPr>
          <w:rFonts w:ascii="Arial" w:hAnsi="Arial" w:cs="Arial"/>
          <w:lang w:val="en-US"/>
        </w:rPr>
        <w:t xml:space="preserve">the </w:t>
      </w:r>
      <w:r w:rsidRPr="00D20CD8">
        <w:rPr>
          <w:rFonts w:ascii="Arial" w:hAnsi="Arial" w:cs="Arial"/>
          <w:lang w:val="en-US"/>
        </w:rPr>
        <w:t xml:space="preserve">cytoprotective </w:t>
      </w:r>
      <w:r w:rsidR="00D20CD8">
        <w:rPr>
          <w:rFonts w:ascii="Arial" w:hAnsi="Arial" w:cs="Arial"/>
          <w:lang w:val="en-US"/>
        </w:rPr>
        <w:t>activity</w:t>
      </w:r>
      <w:r w:rsidRPr="00D20CD8">
        <w:rPr>
          <w:rFonts w:ascii="Arial" w:hAnsi="Arial" w:cs="Arial"/>
          <w:lang w:val="en-US"/>
        </w:rPr>
        <w:t xml:space="preserve">, data were plotted as the mean value </w:t>
      </w:r>
      <w:r w:rsidRPr="00D20CD8">
        <w:rPr>
          <w:rFonts w:ascii="Arial" w:hAnsi="Arial" w:cs="Arial"/>
        </w:rPr>
        <w:sym w:font="Symbol" w:char="F0B1"/>
      </w:r>
      <w:r w:rsidRPr="00D20CD8">
        <w:rPr>
          <w:rFonts w:ascii="Arial" w:hAnsi="Arial" w:cs="Arial"/>
          <w:lang w:val="en-US"/>
        </w:rPr>
        <w:t xml:space="preserve"> standard deviation (SD) of the results of three independent experiments, with every sample </w:t>
      </w:r>
      <w:r w:rsidR="00D20CD8">
        <w:rPr>
          <w:rFonts w:ascii="Arial" w:hAnsi="Arial" w:cs="Arial"/>
          <w:lang w:val="en-US"/>
        </w:rPr>
        <w:t xml:space="preserve">et least </w:t>
      </w:r>
      <w:r w:rsidRPr="00D20CD8">
        <w:rPr>
          <w:rFonts w:ascii="Arial" w:hAnsi="Arial" w:cs="Arial"/>
          <w:lang w:val="en-US"/>
        </w:rPr>
        <w:t>in triplicate</w:t>
      </w:r>
      <w:r w:rsidR="00A915EA">
        <w:rPr>
          <w:rFonts w:ascii="Arial" w:hAnsi="Arial" w:cs="Arial"/>
          <w:lang w:val="en-US"/>
        </w:rPr>
        <w:t xml:space="preserve"> (n=12-13)</w:t>
      </w:r>
      <w:r w:rsidRPr="00D20CD8">
        <w:rPr>
          <w:rFonts w:ascii="Arial" w:hAnsi="Arial" w:cs="Arial"/>
          <w:lang w:val="en-US"/>
        </w:rPr>
        <w:t xml:space="preserve">. </w:t>
      </w:r>
      <w:r w:rsidR="008A781C" w:rsidRPr="00A915EA">
        <w:rPr>
          <w:rFonts w:ascii="Arial" w:hAnsi="Arial" w:cs="Arial"/>
          <w:kern w:val="0"/>
          <w:lang w:val="en-US"/>
        </w:rPr>
        <w:t>Statistical analyses included factorial one-way ANOVA followed by Tukey’s honest significant difference (HSD) test at</w:t>
      </w:r>
      <w:r w:rsidR="00D20CD8" w:rsidRPr="00A915EA">
        <w:rPr>
          <w:rFonts w:ascii="Arial" w:hAnsi="Arial" w:cs="Arial"/>
          <w:kern w:val="0"/>
          <w:lang w:val="en-US"/>
        </w:rPr>
        <w:t xml:space="preserve"> </w:t>
      </w:r>
      <w:r w:rsidR="00D20CD8" w:rsidRPr="00A915EA">
        <w:rPr>
          <w:rFonts w:ascii="Arial" w:hAnsi="Arial" w:cs="Arial"/>
        </w:rPr>
        <w:t>α</w:t>
      </w:r>
      <w:r w:rsidR="00D20CD8" w:rsidRPr="00A915EA">
        <w:rPr>
          <w:rFonts w:ascii="Arial" w:hAnsi="Arial" w:cs="Arial"/>
          <w:lang w:val="en-US"/>
        </w:rPr>
        <w:t xml:space="preserve"> </w:t>
      </w:r>
      <w:r w:rsidR="008A781C" w:rsidRPr="00A915EA">
        <w:rPr>
          <w:rFonts w:ascii="Arial" w:hAnsi="Arial" w:cs="Arial"/>
          <w:kern w:val="0"/>
          <w:lang w:val="en-US"/>
        </w:rPr>
        <w:t>= 0.05</w:t>
      </w:r>
      <w:r w:rsidR="00A915EA">
        <w:rPr>
          <w:rFonts w:ascii="Arial" w:hAnsi="Arial" w:cs="Arial"/>
          <w:kern w:val="0"/>
          <w:lang w:val="en-US"/>
        </w:rPr>
        <w:t xml:space="preserve"> </w:t>
      </w:r>
      <w:r w:rsidR="008A781C" w:rsidRPr="00A915EA">
        <w:rPr>
          <w:rFonts w:ascii="Arial" w:hAnsi="Arial" w:cs="Arial"/>
          <w:kern w:val="0"/>
          <w:lang w:val="en-US"/>
        </w:rPr>
        <w:t>were performed using the</w:t>
      </w:r>
      <w:r w:rsidR="008A781C" w:rsidRPr="00A915EA">
        <w:rPr>
          <w:rFonts w:ascii="Arial" w:hAnsi="Arial" w:cs="Arial"/>
          <w:i/>
          <w:iCs/>
          <w:kern w:val="0"/>
          <w:lang w:val="en-US"/>
        </w:rPr>
        <w:t xml:space="preserve"> </w:t>
      </w:r>
      <w:r w:rsidR="00A915EA" w:rsidRPr="00A915EA">
        <w:rPr>
          <w:rFonts w:ascii="Arial" w:hAnsi="Arial" w:cs="Arial"/>
          <w:color w:val="000000" w:themeColor="text1"/>
          <w:kern w:val="0"/>
          <w:lang w:val="en-US"/>
        </w:rPr>
        <w:t>SPSS statistical analysis.</w:t>
      </w:r>
      <w:r w:rsidRPr="00095D22">
        <w:rPr>
          <w:rFonts w:ascii="Arial" w:eastAsiaTheme="minorEastAsia" w:hAnsi="Arial" w:cs="Arial"/>
          <w:lang w:val="en-US"/>
        </w:rPr>
        <w:t xml:space="preserve"> </w:t>
      </w:r>
      <w:bookmarkEnd w:id="0"/>
      <w:r w:rsidR="00A915EA" w:rsidRPr="00D20CD8">
        <w:rPr>
          <w:rFonts w:ascii="Arial" w:hAnsi="Arial" w:cs="Arial"/>
          <w:kern w:val="0"/>
          <w:lang w:val="en-US"/>
        </w:rPr>
        <w:t>Values denoted with identical letters do not differ significantly</w:t>
      </w:r>
      <w:r w:rsidR="00A915EA">
        <w:rPr>
          <w:rFonts w:ascii="Arial" w:hAnsi="Arial" w:cs="Arial"/>
          <w:kern w:val="0"/>
          <w:lang w:val="en-US"/>
        </w:rPr>
        <w:t>.</w:t>
      </w:r>
    </w:p>
    <w:p w14:paraId="02682CFC" w14:textId="77777777" w:rsidR="00A915EA" w:rsidRPr="00D20CD8" w:rsidRDefault="00A915EA" w:rsidP="00A915EA">
      <w:pPr>
        <w:autoSpaceDE w:val="0"/>
        <w:autoSpaceDN w:val="0"/>
        <w:adjustRightInd w:val="0"/>
        <w:spacing w:after="0" w:line="240" w:lineRule="auto"/>
        <w:jc w:val="both"/>
        <w:rPr>
          <w:rFonts w:ascii="Arial" w:hAnsi="Arial" w:cs="Arial"/>
          <w:lang w:val="en-US"/>
        </w:rPr>
      </w:pPr>
      <w:r w:rsidRPr="00D20CD8">
        <w:rPr>
          <w:rFonts w:ascii="Arial" w:hAnsi="Arial" w:cs="Arial"/>
          <w:kern w:val="0"/>
          <w:lang w:val="en-US"/>
        </w:rPr>
        <w:t xml:space="preserve"> </w:t>
      </w:r>
    </w:p>
    <w:p w14:paraId="71926169" w14:textId="77777777" w:rsidR="00BB3F99" w:rsidRPr="00A915EA" w:rsidRDefault="00BB3F99" w:rsidP="00D20CD8">
      <w:pPr>
        <w:autoSpaceDE w:val="0"/>
        <w:autoSpaceDN w:val="0"/>
        <w:adjustRightInd w:val="0"/>
        <w:spacing w:after="0" w:line="240" w:lineRule="auto"/>
        <w:jc w:val="both"/>
        <w:rPr>
          <w:rFonts w:ascii="Arial" w:eastAsiaTheme="minorEastAsia" w:hAnsi="Arial" w:cs="Arial"/>
          <w:lang w:val="en-US"/>
        </w:rPr>
      </w:pPr>
    </w:p>
    <w:p w14:paraId="17AFFD40" w14:textId="3705C5DB" w:rsidR="00BB3F99" w:rsidRPr="00D20CD8" w:rsidRDefault="00284B01" w:rsidP="00BB3F99">
      <w:pPr>
        <w:rPr>
          <w:rFonts w:ascii="Arial" w:hAnsi="Arial" w:cs="Arial"/>
          <w:lang w:val="en-US"/>
        </w:rPr>
      </w:pPr>
      <w:r>
        <w:rPr>
          <w:rFonts w:ascii="Arial" w:hAnsi="Arial" w:cs="Arial"/>
          <w:lang w:val="en-US"/>
        </w:rPr>
        <w:t xml:space="preserve">[1] </w:t>
      </w:r>
      <w:proofErr w:type="spellStart"/>
      <w:r w:rsidRPr="00284B01">
        <w:rPr>
          <w:rFonts w:ascii="Arial" w:hAnsi="Arial" w:cs="Arial"/>
          <w:lang w:val="en-US"/>
        </w:rPr>
        <w:t>Lucyna</w:t>
      </w:r>
      <w:proofErr w:type="spellEnd"/>
      <w:r w:rsidRPr="00284B01">
        <w:rPr>
          <w:rFonts w:ascii="Arial" w:hAnsi="Arial" w:cs="Arial"/>
          <w:lang w:val="en-US"/>
        </w:rPr>
        <w:t xml:space="preserve"> </w:t>
      </w:r>
      <w:proofErr w:type="spellStart"/>
      <w:r w:rsidRPr="00284B01">
        <w:rPr>
          <w:rFonts w:ascii="Arial" w:hAnsi="Arial" w:cs="Arial"/>
          <w:lang w:val="en-US"/>
        </w:rPr>
        <w:t>Mrówczyńska</w:t>
      </w:r>
      <w:proofErr w:type="spellEnd"/>
      <w:r w:rsidRPr="00284B01">
        <w:rPr>
          <w:rFonts w:ascii="Arial" w:hAnsi="Arial" w:cs="Arial"/>
          <w:lang w:val="en-US"/>
        </w:rPr>
        <w:t xml:space="preserve"> and Henry </w:t>
      </w:r>
      <w:proofErr w:type="spellStart"/>
      <w:r w:rsidRPr="00284B01">
        <w:rPr>
          <w:rFonts w:ascii="Arial" w:hAnsi="Arial" w:cs="Arial"/>
          <w:lang w:val="en-US"/>
        </w:rPr>
        <w:t>Hägerstrand</w:t>
      </w:r>
      <w:proofErr w:type="spellEnd"/>
      <w:r w:rsidRPr="00284B01">
        <w:rPr>
          <w:rFonts w:ascii="Arial" w:hAnsi="Arial" w:cs="Arial"/>
          <w:lang w:val="en-US"/>
        </w:rPr>
        <w:t>, “Platelet-Activating Factor Interaction with the Human Erythrocyte Membrane,” Journal of Biochemical and Molecular Toxicology 23, no. 5 (September 2009): 345–48, https://doi.org/10.1002/jbt.20297.</w:t>
      </w:r>
    </w:p>
    <w:sectPr w:rsidR="00BB3F99" w:rsidRPr="00D20CD8" w:rsidSect="00C17C80">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0005C" w14:textId="77777777" w:rsidR="0032519E" w:rsidRDefault="0032519E" w:rsidP="00DC160F">
      <w:pPr>
        <w:spacing w:after="0" w:line="240" w:lineRule="auto"/>
      </w:pPr>
      <w:r>
        <w:separator/>
      </w:r>
    </w:p>
  </w:endnote>
  <w:endnote w:type="continuationSeparator" w:id="0">
    <w:p w14:paraId="541F037E" w14:textId="77777777" w:rsidR="0032519E" w:rsidRDefault="0032519E" w:rsidP="00DC1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ionPro-Regular">
    <w:altName w:val="MS Gothic"/>
    <w:panose1 w:val="00000000000000000000"/>
    <w:charset w:val="80"/>
    <w:family w:val="roman"/>
    <w:notTrueType/>
    <w:pitch w:val="default"/>
    <w:sig w:usb0="00000001" w:usb1="08070000" w:usb2="00000010" w:usb3="00000000" w:csb0="00020000" w:csb1="00000000"/>
  </w:font>
  <w:font w:name="MyriadPro-Regular">
    <w:altName w:val="MS Gothic"/>
    <w:panose1 w:val="00000000000000000000"/>
    <w:charset w:val="80"/>
    <w:family w:val="swiss"/>
    <w:notTrueType/>
    <w:pitch w:val="default"/>
    <w:sig w:usb0="00000001" w:usb1="08070000" w:usb2="00000010" w:usb3="00000000" w:csb0="00020000" w:csb1="00000000"/>
  </w:font>
  <w:font w:name="Corbel-Bold">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F4AD1" w14:textId="77777777" w:rsidR="00DC160F" w:rsidRDefault="00DC1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706094"/>
      <w:docPartObj>
        <w:docPartGallery w:val="Page Numbers (Bottom of Page)"/>
        <w:docPartUnique/>
      </w:docPartObj>
    </w:sdtPr>
    <w:sdtContent>
      <w:p w14:paraId="4A42A76F" w14:textId="77777777" w:rsidR="00DC160F" w:rsidRDefault="00C17C80">
        <w:pPr>
          <w:pStyle w:val="Footer"/>
          <w:jc w:val="right"/>
        </w:pPr>
        <w:r>
          <w:fldChar w:fldCharType="begin"/>
        </w:r>
        <w:r w:rsidR="00DC160F">
          <w:instrText>PAGE   \* MERGEFORMAT</w:instrText>
        </w:r>
        <w:r>
          <w:fldChar w:fldCharType="separate"/>
        </w:r>
        <w:r w:rsidR="000C4599">
          <w:rPr>
            <w:noProof/>
          </w:rPr>
          <w:t>5</w:t>
        </w:r>
        <w:r>
          <w:fldChar w:fldCharType="end"/>
        </w:r>
      </w:p>
    </w:sdtContent>
  </w:sdt>
  <w:p w14:paraId="7A1E2BCE" w14:textId="77777777" w:rsidR="00DC160F" w:rsidRDefault="00DC16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36BB" w14:textId="77777777" w:rsidR="00DC160F" w:rsidRDefault="00DC1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566C0" w14:textId="77777777" w:rsidR="0032519E" w:rsidRDefault="0032519E" w:rsidP="00DC160F">
      <w:pPr>
        <w:spacing w:after="0" w:line="240" w:lineRule="auto"/>
      </w:pPr>
      <w:r>
        <w:separator/>
      </w:r>
    </w:p>
  </w:footnote>
  <w:footnote w:type="continuationSeparator" w:id="0">
    <w:p w14:paraId="1058DBA0" w14:textId="77777777" w:rsidR="0032519E" w:rsidRDefault="0032519E" w:rsidP="00DC1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59C7" w14:textId="77777777" w:rsidR="00DC160F" w:rsidRDefault="00DC16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C76BB" w14:textId="77777777" w:rsidR="00DC160F" w:rsidRDefault="00DC16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EF412" w14:textId="77777777" w:rsidR="00DC160F" w:rsidRDefault="00DC16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78B1"/>
    <w:multiLevelType w:val="hybridMultilevel"/>
    <w:tmpl w:val="2696A9AC"/>
    <w:lvl w:ilvl="0" w:tplc="3AD67028">
      <w:start w:val="4"/>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7BD582F"/>
    <w:multiLevelType w:val="hybridMultilevel"/>
    <w:tmpl w:val="EE7002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C034EB7"/>
    <w:multiLevelType w:val="hybridMultilevel"/>
    <w:tmpl w:val="9AD2F7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7812DA4"/>
    <w:multiLevelType w:val="hybridMultilevel"/>
    <w:tmpl w:val="5C082D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E643736"/>
    <w:multiLevelType w:val="hybridMultilevel"/>
    <w:tmpl w:val="82209EC2"/>
    <w:lvl w:ilvl="0" w:tplc="42C01F84">
      <w:start w:val="2"/>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05C514A"/>
    <w:multiLevelType w:val="hybridMultilevel"/>
    <w:tmpl w:val="498C01EE"/>
    <w:lvl w:ilvl="0" w:tplc="442CC698">
      <w:start w:val="2"/>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A5C658C"/>
    <w:multiLevelType w:val="hybridMultilevel"/>
    <w:tmpl w:val="B2D666C0"/>
    <w:lvl w:ilvl="0" w:tplc="A9E0982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B2A563A"/>
    <w:multiLevelType w:val="hybridMultilevel"/>
    <w:tmpl w:val="BA5ABCC4"/>
    <w:lvl w:ilvl="0" w:tplc="88025900">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F1500A6"/>
    <w:multiLevelType w:val="hybridMultilevel"/>
    <w:tmpl w:val="C05AC472"/>
    <w:lvl w:ilvl="0" w:tplc="396670C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4420124"/>
    <w:multiLevelType w:val="hybridMultilevel"/>
    <w:tmpl w:val="268419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A6745B2"/>
    <w:multiLevelType w:val="hybridMultilevel"/>
    <w:tmpl w:val="47A4B65A"/>
    <w:lvl w:ilvl="0" w:tplc="DDB0257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04A06EB"/>
    <w:multiLevelType w:val="hybridMultilevel"/>
    <w:tmpl w:val="8468F1BA"/>
    <w:lvl w:ilvl="0" w:tplc="83A24752">
      <w:start w:val="4"/>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B2A4EF3"/>
    <w:multiLevelType w:val="hybridMultilevel"/>
    <w:tmpl w:val="ED7A1A16"/>
    <w:lvl w:ilvl="0" w:tplc="EE422222">
      <w:start w:val="4"/>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E87667E"/>
    <w:multiLevelType w:val="hybridMultilevel"/>
    <w:tmpl w:val="5D562AC2"/>
    <w:lvl w:ilvl="0" w:tplc="661254F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F7F0FF1"/>
    <w:multiLevelType w:val="hybridMultilevel"/>
    <w:tmpl w:val="B4C46E8A"/>
    <w:lvl w:ilvl="0" w:tplc="573ADAA6">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56338105">
    <w:abstractNumId w:val="8"/>
  </w:num>
  <w:num w:numId="2" w16cid:durableId="1728529879">
    <w:abstractNumId w:val="13"/>
  </w:num>
  <w:num w:numId="3" w16cid:durableId="256061600">
    <w:abstractNumId w:val="1"/>
  </w:num>
  <w:num w:numId="4" w16cid:durableId="318189865">
    <w:abstractNumId w:val="2"/>
  </w:num>
  <w:num w:numId="5" w16cid:durableId="1288121372">
    <w:abstractNumId w:val="7"/>
  </w:num>
  <w:num w:numId="6" w16cid:durableId="519469161">
    <w:abstractNumId w:val="3"/>
  </w:num>
  <w:num w:numId="7" w16cid:durableId="201864455">
    <w:abstractNumId w:val="14"/>
  </w:num>
  <w:num w:numId="8" w16cid:durableId="611209659">
    <w:abstractNumId w:val="12"/>
  </w:num>
  <w:num w:numId="9" w16cid:durableId="1840003810">
    <w:abstractNumId w:val="0"/>
  </w:num>
  <w:num w:numId="10" w16cid:durableId="1041707644">
    <w:abstractNumId w:val="11"/>
  </w:num>
  <w:num w:numId="11" w16cid:durableId="394595992">
    <w:abstractNumId w:val="10"/>
  </w:num>
  <w:num w:numId="12" w16cid:durableId="456726238">
    <w:abstractNumId w:val="6"/>
  </w:num>
  <w:num w:numId="13" w16cid:durableId="1856458892">
    <w:abstractNumId w:val="4"/>
  </w:num>
  <w:num w:numId="14" w16cid:durableId="333649311">
    <w:abstractNumId w:val="5"/>
  </w:num>
  <w:num w:numId="15" w16cid:durableId="5701897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F99"/>
    <w:rsid w:val="000953A8"/>
    <w:rsid w:val="00095D22"/>
    <w:rsid w:val="000C2028"/>
    <w:rsid w:val="000C4599"/>
    <w:rsid w:val="000D26DB"/>
    <w:rsid w:val="00105F95"/>
    <w:rsid w:val="001A35F6"/>
    <w:rsid w:val="001C6DEF"/>
    <w:rsid w:val="001E6951"/>
    <w:rsid w:val="00223BA6"/>
    <w:rsid w:val="00284B01"/>
    <w:rsid w:val="0031237D"/>
    <w:rsid w:val="0032519E"/>
    <w:rsid w:val="003B54D8"/>
    <w:rsid w:val="0042181C"/>
    <w:rsid w:val="00431A4A"/>
    <w:rsid w:val="00477797"/>
    <w:rsid w:val="004855A6"/>
    <w:rsid w:val="004A6758"/>
    <w:rsid w:val="00543D29"/>
    <w:rsid w:val="005615FB"/>
    <w:rsid w:val="005F1C0F"/>
    <w:rsid w:val="00633AC3"/>
    <w:rsid w:val="00662B25"/>
    <w:rsid w:val="006A2691"/>
    <w:rsid w:val="0071455D"/>
    <w:rsid w:val="007A28EC"/>
    <w:rsid w:val="008555AE"/>
    <w:rsid w:val="008A781C"/>
    <w:rsid w:val="00933DAA"/>
    <w:rsid w:val="00940C55"/>
    <w:rsid w:val="009D354D"/>
    <w:rsid w:val="00A122C9"/>
    <w:rsid w:val="00A8556A"/>
    <w:rsid w:val="00A8753A"/>
    <w:rsid w:val="00A915EA"/>
    <w:rsid w:val="00AB7AA3"/>
    <w:rsid w:val="00AD58B9"/>
    <w:rsid w:val="00BB3F99"/>
    <w:rsid w:val="00BF16D8"/>
    <w:rsid w:val="00C17C80"/>
    <w:rsid w:val="00CA093F"/>
    <w:rsid w:val="00D03156"/>
    <w:rsid w:val="00D20CD8"/>
    <w:rsid w:val="00D93E9F"/>
    <w:rsid w:val="00DA7A2E"/>
    <w:rsid w:val="00DC160F"/>
    <w:rsid w:val="00E46B8F"/>
    <w:rsid w:val="00E62234"/>
    <w:rsid w:val="00E708C2"/>
    <w:rsid w:val="00F35C29"/>
    <w:rsid w:val="00F65DD7"/>
    <w:rsid w:val="00F70D90"/>
    <w:rsid w:val="00F70EF2"/>
    <w:rsid w:val="00F87C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2EE1"/>
  <w15:docId w15:val="{F07CB027-B370-41AC-A582-7C36DC99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31text">
    <w:name w:val="MDPI_3.1_text"/>
    <w:qFormat/>
    <w:rsid w:val="00BB3F99"/>
    <w:pPr>
      <w:adjustRightInd w:val="0"/>
      <w:snapToGrid w:val="0"/>
      <w:spacing w:after="0" w:line="228" w:lineRule="auto"/>
      <w:ind w:left="2608" w:firstLine="425"/>
      <w:jc w:val="both"/>
    </w:pPr>
    <w:rPr>
      <w:rFonts w:ascii="Palatino Linotype" w:eastAsia="Times New Roman" w:hAnsi="Palatino Linotype" w:cs="Times New Roman"/>
      <w:snapToGrid w:val="0"/>
      <w:color w:val="000000"/>
      <w:kern w:val="0"/>
      <w:sz w:val="20"/>
      <w:lang w:val="en-US" w:eastAsia="de-DE" w:bidi="en-US"/>
    </w:rPr>
  </w:style>
  <w:style w:type="paragraph" w:customStyle="1" w:styleId="MDPI23heading3">
    <w:name w:val="MDPI_2.3_heading3"/>
    <w:qFormat/>
    <w:rsid w:val="00BB3F99"/>
    <w:pPr>
      <w:adjustRightInd w:val="0"/>
      <w:snapToGrid w:val="0"/>
      <w:spacing w:before="60" w:after="60" w:line="228" w:lineRule="auto"/>
      <w:ind w:left="2608"/>
      <w:outlineLvl w:val="2"/>
    </w:pPr>
    <w:rPr>
      <w:rFonts w:ascii="Palatino Linotype" w:eastAsia="Times New Roman" w:hAnsi="Palatino Linotype" w:cs="Times New Roman"/>
      <w:snapToGrid w:val="0"/>
      <w:color w:val="000000"/>
      <w:kern w:val="0"/>
      <w:sz w:val="20"/>
      <w:lang w:val="en-US" w:eastAsia="de-DE" w:bidi="en-US"/>
    </w:rPr>
  </w:style>
  <w:style w:type="paragraph" w:customStyle="1" w:styleId="MDPI22heading2">
    <w:name w:val="MDPI_2.2_heading2"/>
    <w:qFormat/>
    <w:rsid w:val="00BB3F99"/>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kern w:val="0"/>
      <w:sz w:val="20"/>
      <w:lang w:val="en-US" w:eastAsia="de-DE" w:bidi="en-US"/>
    </w:rPr>
  </w:style>
  <w:style w:type="table" w:styleId="TableGrid">
    <w:name w:val="Table Grid"/>
    <w:basedOn w:val="TableNormal"/>
    <w:uiPriority w:val="39"/>
    <w:rsid w:val="00A12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81C"/>
    <w:pPr>
      <w:ind w:left="720"/>
      <w:contextualSpacing/>
    </w:pPr>
  </w:style>
  <w:style w:type="paragraph" w:styleId="Header">
    <w:name w:val="header"/>
    <w:basedOn w:val="Normal"/>
    <w:link w:val="HeaderChar"/>
    <w:uiPriority w:val="99"/>
    <w:unhideWhenUsed/>
    <w:rsid w:val="00DC16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160F"/>
  </w:style>
  <w:style w:type="paragraph" w:styleId="Footer">
    <w:name w:val="footer"/>
    <w:basedOn w:val="Normal"/>
    <w:link w:val="FooterChar"/>
    <w:uiPriority w:val="99"/>
    <w:unhideWhenUsed/>
    <w:rsid w:val="00DC16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160F"/>
  </w:style>
  <w:style w:type="paragraph" w:styleId="BalloonText">
    <w:name w:val="Balloon Text"/>
    <w:basedOn w:val="Normal"/>
    <w:link w:val="BalloonTextChar"/>
    <w:uiPriority w:val="99"/>
    <w:semiHidden/>
    <w:unhideWhenUsed/>
    <w:rsid w:val="00105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F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00B0F0"/>
            </a:solidFill>
            <a:ln>
              <a:noFill/>
            </a:ln>
            <a:effectLst/>
          </c:spPr>
          <c:invertIfNegative val="0"/>
          <c:dPt>
            <c:idx val="0"/>
            <c:invertIfNegative val="0"/>
            <c:bubble3D val="0"/>
            <c:spPr>
              <a:solidFill>
                <a:schemeClr val="accent1">
                  <a:lumMod val="60000"/>
                  <a:lumOff val="40000"/>
                </a:schemeClr>
              </a:solidFill>
              <a:ln>
                <a:noFill/>
              </a:ln>
              <a:effectLst/>
            </c:spPr>
            <c:extLst>
              <c:ext xmlns:c16="http://schemas.microsoft.com/office/drawing/2014/chart" uri="{C3380CC4-5D6E-409C-BE32-E72D297353CC}">
                <c16:uniqueId val="{00000001-C103-4AAA-9CAB-36A83673F0D0}"/>
              </c:ext>
            </c:extLst>
          </c:dPt>
          <c:dPt>
            <c:idx val="1"/>
            <c:invertIfNegative val="0"/>
            <c:bubble3D val="0"/>
            <c:spPr>
              <a:solidFill>
                <a:schemeClr val="tx2">
                  <a:lumMod val="60000"/>
                  <a:lumOff val="40000"/>
                </a:schemeClr>
              </a:solidFill>
              <a:ln>
                <a:noFill/>
              </a:ln>
              <a:effectLst/>
            </c:spPr>
            <c:extLst>
              <c:ext xmlns:c16="http://schemas.microsoft.com/office/drawing/2014/chart" uri="{C3380CC4-5D6E-409C-BE32-E72D297353CC}">
                <c16:uniqueId val="{00000003-C103-4AAA-9CAB-36A83673F0D0}"/>
              </c:ext>
            </c:extLst>
          </c:dPt>
          <c:dPt>
            <c:idx val="3"/>
            <c:invertIfNegative val="0"/>
            <c:bubble3D val="0"/>
            <c:spPr>
              <a:solidFill>
                <a:schemeClr val="tx2"/>
              </a:solidFill>
              <a:ln>
                <a:noFill/>
              </a:ln>
              <a:effectLst/>
            </c:spPr>
            <c:extLst>
              <c:ext xmlns:c16="http://schemas.microsoft.com/office/drawing/2014/chart" uri="{C3380CC4-5D6E-409C-BE32-E72D297353CC}">
                <c16:uniqueId val="{00000005-C103-4AAA-9CAB-36A83673F0D0}"/>
              </c:ext>
            </c:extLst>
          </c:dPt>
          <c:dPt>
            <c:idx val="4"/>
            <c:invertIfNegative val="0"/>
            <c:bubble3D val="0"/>
            <c:spPr>
              <a:solidFill>
                <a:srgbClr val="002060"/>
              </a:solidFill>
              <a:ln>
                <a:noFill/>
              </a:ln>
              <a:effectLst/>
            </c:spPr>
            <c:extLst>
              <c:ext xmlns:c16="http://schemas.microsoft.com/office/drawing/2014/chart" uri="{C3380CC4-5D6E-409C-BE32-E72D297353CC}">
                <c16:uniqueId val="{00000007-C103-4AAA-9CAB-36A83673F0D0}"/>
              </c:ext>
            </c:extLst>
          </c:dPt>
          <c:errBars>
            <c:errBarType val="plus"/>
            <c:errValType val="cust"/>
            <c:noEndCap val="0"/>
            <c:plus>
              <c:numRef>
                <c:f>'AAPH C1 C4 KB  Punkt_14.04.2023'!$L$74:$L$78</c:f>
                <c:numCache>
                  <c:formatCode>General</c:formatCode>
                  <c:ptCount val="5"/>
                  <c:pt idx="0">
                    <c:v>2.8120247746268987</c:v>
                  </c:pt>
                  <c:pt idx="1">
                    <c:v>2.0605014376147825</c:v>
                  </c:pt>
                  <c:pt idx="2">
                    <c:v>2.2623426759894714</c:v>
                  </c:pt>
                  <c:pt idx="3">
                    <c:v>3.2520101724936761</c:v>
                  </c:pt>
                  <c:pt idx="4">
                    <c:v>5.1814812005341269</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cat>
            <c:strRef>
              <c:f>'AAPH C1 C4 KB  Punkt_14.04.2023'!$J$74:$J$78</c:f>
              <c:strCache>
                <c:ptCount val="5"/>
                <c:pt idx="0">
                  <c:v>1</c:v>
                </c:pt>
                <c:pt idx="1">
                  <c:v>2</c:v>
                </c:pt>
                <c:pt idx="2">
                  <c:v>3</c:v>
                </c:pt>
                <c:pt idx="3">
                  <c:v>4</c:v>
                </c:pt>
                <c:pt idx="4">
                  <c:v>Trolox</c:v>
                </c:pt>
              </c:strCache>
            </c:strRef>
          </c:cat>
          <c:val>
            <c:numRef>
              <c:f>'AAPH C1 C4 KB  Punkt_14.04.2023'!$K$74:$K$78</c:f>
              <c:numCache>
                <c:formatCode>General</c:formatCode>
                <c:ptCount val="5"/>
                <c:pt idx="0">
                  <c:v>17.811130399350791</c:v>
                </c:pt>
                <c:pt idx="1">
                  <c:v>28.201967555185153</c:v>
                </c:pt>
                <c:pt idx="2">
                  <c:v>37.514167017930234</c:v>
                </c:pt>
                <c:pt idx="3">
                  <c:v>32.158836275163907</c:v>
                </c:pt>
                <c:pt idx="4">
                  <c:v>39.422229349602176</c:v>
                </c:pt>
              </c:numCache>
            </c:numRef>
          </c:val>
          <c:extLst>
            <c:ext xmlns:c16="http://schemas.microsoft.com/office/drawing/2014/chart" uri="{C3380CC4-5D6E-409C-BE32-E72D297353CC}">
              <c16:uniqueId val="{00000008-C103-4AAA-9CAB-36A83673F0D0}"/>
            </c:ext>
          </c:extLst>
        </c:ser>
        <c:dLbls>
          <c:showLegendKey val="0"/>
          <c:showVal val="0"/>
          <c:showCatName val="0"/>
          <c:showSerName val="0"/>
          <c:showPercent val="0"/>
          <c:showBubbleSize val="0"/>
        </c:dLbls>
        <c:gapWidth val="219"/>
        <c:overlap val="-27"/>
        <c:axId val="132752128"/>
        <c:axId val="132753664"/>
      </c:barChart>
      <c:catAx>
        <c:axId val="13275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l-PL"/>
          </a:p>
        </c:txPr>
        <c:crossAx val="132753664"/>
        <c:crosses val="autoZero"/>
        <c:auto val="1"/>
        <c:lblAlgn val="ctr"/>
        <c:lblOffset val="100"/>
        <c:noMultiLvlLbl val="0"/>
      </c:catAx>
      <c:valAx>
        <c:axId val="1327536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pl-PL" sz="1000">
                    <a:solidFill>
                      <a:sysClr val="windowText" lastClr="000000"/>
                    </a:solidFill>
                    <a:latin typeface="Arial" panose="020B0604020202020204" pitchFamily="34" charset="0"/>
                    <a:cs typeface="Arial" panose="020B0604020202020204" pitchFamily="34" charset="0"/>
                  </a:rPr>
                  <a:t>Cytoprotective activity </a:t>
                </a:r>
                <a:r>
                  <a:rPr lang="en-US" sz="1000" baseline="0">
                    <a:solidFill>
                      <a:sysClr val="windowText" lastClr="000000"/>
                    </a:solidFill>
                    <a:latin typeface="Arial" panose="020B0604020202020204" pitchFamily="34" charset="0"/>
                    <a:cs typeface="Arial" panose="020B0604020202020204" pitchFamily="34" charset="0"/>
                  </a:rPr>
                  <a:t> (%)</a:t>
                </a:r>
                <a:endParaRPr lang="en-US" sz="1000">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1.3888888888888897E-2"/>
              <c:y val="0.1470177165354331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crossAx val="132752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0.18542</cdr:x>
      <cdr:y>0.42361</cdr:y>
    </cdr:from>
    <cdr:to>
      <cdr:x>0.24583</cdr:x>
      <cdr:y>0.52431</cdr:y>
    </cdr:to>
    <cdr:sp macro="" textlink="">
      <cdr:nvSpPr>
        <cdr:cNvPr id="2" name="TextBox 1"/>
        <cdr:cNvSpPr txBox="1"/>
      </cdr:nvSpPr>
      <cdr:spPr>
        <a:xfrm xmlns:a="http://schemas.openxmlformats.org/drawingml/2006/main">
          <a:off x="847740" y="1162038"/>
          <a:ext cx="276195" cy="27624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a</a:t>
          </a:r>
        </a:p>
      </cdr:txBody>
    </cdr:sp>
  </cdr:relSizeAnchor>
  <cdr:relSizeAnchor xmlns:cdr="http://schemas.openxmlformats.org/drawingml/2006/chartDrawing">
    <cdr:from>
      <cdr:x>0.34583</cdr:x>
      <cdr:y>0.27431</cdr:y>
    </cdr:from>
    <cdr:to>
      <cdr:x>0.40625</cdr:x>
      <cdr:y>0.38194</cdr:y>
    </cdr:to>
    <cdr:sp macro="" textlink="">
      <cdr:nvSpPr>
        <cdr:cNvPr id="3" name="TextBox 2"/>
        <cdr:cNvSpPr txBox="1"/>
      </cdr:nvSpPr>
      <cdr:spPr>
        <a:xfrm xmlns:a="http://schemas.openxmlformats.org/drawingml/2006/main">
          <a:off x="1581135" y="752487"/>
          <a:ext cx="276240" cy="29525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ab</a:t>
          </a:r>
        </a:p>
      </cdr:txBody>
    </cdr:sp>
  </cdr:relSizeAnchor>
  <cdr:relSizeAnchor xmlns:cdr="http://schemas.openxmlformats.org/drawingml/2006/chartDrawing">
    <cdr:from>
      <cdr:x>0.52084</cdr:x>
      <cdr:y>0.1007</cdr:y>
    </cdr:from>
    <cdr:to>
      <cdr:x>0.58334</cdr:x>
      <cdr:y>0.19792</cdr:y>
    </cdr:to>
    <cdr:sp macro="" textlink="">
      <cdr:nvSpPr>
        <cdr:cNvPr id="4" name="TextBox 3"/>
        <cdr:cNvSpPr txBox="1"/>
      </cdr:nvSpPr>
      <cdr:spPr>
        <a:xfrm xmlns:a="http://schemas.openxmlformats.org/drawingml/2006/main">
          <a:off x="2381265" y="276228"/>
          <a:ext cx="285750" cy="26669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b</a:t>
          </a:r>
        </a:p>
      </cdr:txBody>
    </cdr:sp>
  </cdr:relSizeAnchor>
  <cdr:relSizeAnchor xmlns:cdr="http://schemas.openxmlformats.org/drawingml/2006/chartDrawing">
    <cdr:from>
      <cdr:x>0.69166</cdr:x>
      <cdr:y>0.1875</cdr:y>
    </cdr:from>
    <cdr:to>
      <cdr:x>0.75833</cdr:x>
      <cdr:y>0.29514</cdr:y>
    </cdr:to>
    <cdr:sp macro="" textlink="">
      <cdr:nvSpPr>
        <cdr:cNvPr id="5" name="TextBox 4"/>
        <cdr:cNvSpPr txBox="1"/>
      </cdr:nvSpPr>
      <cdr:spPr>
        <a:xfrm xmlns:a="http://schemas.openxmlformats.org/drawingml/2006/main">
          <a:off x="3162285" y="514353"/>
          <a:ext cx="304815" cy="29527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b</a:t>
          </a:r>
        </a:p>
      </cdr:txBody>
    </cdr:sp>
  </cdr:relSizeAnchor>
  <cdr:relSizeAnchor xmlns:cdr="http://schemas.openxmlformats.org/drawingml/2006/chartDrawing">
    <cdr:from>
      <cdr:x>0.85625</cdr:x>
      <cdr:y>0.05208</cdr:y>
    </cdr:from>
    <cdr:to>
      <cdr:x>0.91459</cdr:x>
      <cdr:y>0.15625</cdr:y>
    </cdr:to>
    <cdr:sp macro="" textlink="">
      <cdr:nvSpPr>
        <cdr:cNvPr id="6" name="TextBox 5"/>
        <cdr:cNvSpPr txBox="1"/>
      </cdr:nvSpPr>
      <cdr:spPr>
        <a:xfrm xmlns:a="http://schemas.openxmlformats.org/drawingml/2006/main">
          <a:off x="3914775" y="142875"/>
          <a:ext cx="266730" cy="2857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b</a:t>
          </a:r>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5</Pages>
  <Words>1292</Words>
  <Characters>7758</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Lucyna Mrówczyńska</dc:creator>
  <cp:lastModifiedBy>Damian Nowak</cp:lastModifiedBy>
  <cp:revision>5</cp:revision>
  <dcterms:created xsi:type="dcterms:W3CDTF">2023-04-27T12:13:00Z</dcterms:created>
  <dcterms:modified xsi:type="dcterms:W3CDTF">2023-04-30T17:19:00Z</dcterms:modified>
</cp:coreProperties>
</file>