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Finance Discussion Papers (IFDP)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