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Price Spillovers and Specialization in health Care The Case of Childrens Hospitals</w:t>
      </w:r>
    </w:p>
    <w:p>
      <w:r>
        <w:t>Author:Ian McCarthy, Mehul V. Raval</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r>
        <w:t>Specialty hospitals tend to negotiate higher commercial insurance payments, even for relatively routine procedures with comparable clinical quality across hospital types. How specialty hospitals can maintain such a price premium remains an open question. In this paper, we examine a potential (horizontal) differentiation effect in which patients perceive specialty hospitals as sufficiently distinct from other hospitals, so that specialty hospitals effectively compete in a separate market from general acute care hospitals. We estimate this effect in the context of routine pediatric procedures offered by both specialty children’s hospitals as well as general acute care hospitals, and we find strong empirical evidence of a differentiation effect in which specialty children’s hospitals appear largely immune to competitive forces from non-children’s hospitals.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25/w30425.pdf" TargetMode="External"/><Relationship Id="rId10" Type="http://schemas.openxmlformats.org/officeDocument/2006/relationships/hyperlink" Target="https://www.nber.org/papers/w304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