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BIS Quarterly Review, September 2022 - media briefing</w:t>
      </w:r>
    </w:p>
    <w:p>
      <w:r>
        <w:t>Author:Claudio Borio, Hyun Song Shin</w:t>
      </w:r>
    </w:p>
    <w:p>
      <w:r>
        <w:t>Date:2022-09-16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Attachment:NA</w:t>
      </w:r>
    </w:p>
    <w:p>
      <w:r>
        <w:t>From:BIS-speech</w:t>
      </w:r>
    </w:p>
    <w:p>
      <w:r>
        <w:t xml:space="preserve">BIS Quarterly Review, September 2022 - media briefing </w:t>
        <w:br/>
        <w:br/>
        <w:br/>
        <w:br/>
        <w:t xml:space="preserve"> by Claudio Borio and Hyun Song Shin </w:t>
        <w:br/>
        <w:br/>
        <w:t xml:space="preserve">  16 Sep 2022  BIS Quarterly Review, September 2022 </w:t>
        <w:br/>
        <w:br/>
        <w:br/>
        <w:t>Claudio Borio and Hyun Song Shin brief the media on the key takeaways of the BIS September 2022 Quarterly Review.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bis.org/publ/qtrpdf/r_qt2209_brief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