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Explaining deviations from Okun’s law</w:t>
      </w:r>
    </w:p>
    <w:p>
      <w:r>
        <w:t>Author:Claudia ForoniFrancesco Furlanetto</w:t>
      </w:r>
    </w:p>
    <w:p>
      <w:r>
        <w:t>Date:2022-08-05</w:t>
      </w:r>
    </w:p>
    <w:p>
      <w:r>
        <w:t>Keyword:NA</w:t>
      </w:r>
    </w:p>
    <w:p>
      <w:r>
        <w:t>Url:</w:t>
      </w:r>
      <w:hyperlink r:id="rId9">
        <w:r>
          <w:rPr>
            <w:color w:val="FF8822"/>
            <w:u w:val="none"/>
          </w:rPr>
          <w:t>click here</w:t>
        </w:r>
      </w:hyperlink>
    </w:p>
    <w:p>
      <w:r>
        <w:t>Attachment:</w:t>
      </w:r>
      <w:hyperlink r:id="rId10">
        <w:r>
          <w:rPr>
            <w:color w:val="FF8822"/>
            <w:u w:val="none"/>
          </w:rPr>
          <w:t>click here</w:t>
        </w:r>
      </w:hyperlink>
    </w:p>
    <w:p>
      <w:r>
        <w:t>From:ECB-working_paper</w:t>
      </w:r>
    </w:p>
    <w:p>
      <w:r>
        <w:t>AbstractDespite its stability over time, as for any statistical relationship, Okun’s law is subject to deviations that can be large at times. In this paper, we provide a mapping between residuals in Okun’s regressions and structural shocks identified with a SVAR model by inspecting how unemployment responds to the state of the economy. We show that deviations from Okun’s law are a natural and expected outcome once one takes a multi-shock perspective, as long as shocks to automation, labour supply and structural factors in the labour market are taken into account. Our simple recipe for policy makers is that, if a positive deviation from Okun’s law arises, it is likely to be generated by either positive labour supply or automation shocks or by negative structural factors shocks.JEL CodeE24 : Macroeconomics and Monetary Economics→Consumption, Saving, Production, Investment, Labor Markets, and Informal Economy→Employment, Unemployment, Wages, Intergenerational Income Distribution, Aggregate Human CapitalE32 : Macroeconomics and Monetary Economics→Prices, Business Fluctuations, and Cycles→Business Fluctuations, CyclesC32 : Mathematical and Quantitative Methods→Multiple or Simultaneous Equation Models, Multiple Variables→Time-Series Models, Dynamic Quantile Regressions, Dynamic Treatment Effect Models, Diffusion Processes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ecb.europa.eu/pub/research/working-papers/html/papers-2022.include.en.html" TargetMode="External"/><Relationship Id="rId10" Type="http://schemas.openxmlformats.org/officeDocument/2006/relationships/hyperlink" Target="https://www.ecb.europa.eu//pub/pdf/scpwps/ecb.wp2699~a1985f19ed.en.pdf?713c3e957fe653e498dbc231d03a4cf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