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Did COVID-19 induce a reallocation wave</w:t>
      </w:r>
    </w:p>
    <w:p>
      <w:r>
        <w:t>Author:Agostino ConsoloFilippos Petroulakis</w:t>
      </w:r>
    </w:p>
    <w:p>
      <w:r>
        <w:t>Date:2022-08-09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From:ECB-working_paper</w:t>
      </w:r>
    </w:p>
    <w:p>
      <w:r>
        <w:t>AbstractRecent research has argued that the COVID-19 shock has also brought about a reallocation shock. We examine the evidence for such an occurrence in the United States, taking a broad perspective. We first consider micro data from CPS and JOLTS; there is no noticeable uptick in occupation or sector switches, nor churn, either at the aggregate level or the cross-section, or when broken down by firms’ size. We then examine whether mismatch unemployment has risen as a result of the pandemic; using an off-the-shelf multisector search and matching model, there is little evidence for an important role for mismatch in driving the elevated unemployment rate. Finally, we employ a novel Bayesian SVAR framework with sign restrictions to identify a reallocation shock; we find that it has played a relatively minor role in explaining labor market patterns in the pandemic, at least relative to its importance in earlier episodes.JEL CodeE24 : Macroeconomics and Monetary Economics→Consumption, Saving, Production, Investment, Labor Markets, and Informal Economy→Employment, Unemployment, Wages, Intergenerational Income Distribution, Aggregate Human CapitalJ63 : Labor and Demographic Economics→Mobility, Unemployment, Vacancies, and Immigrant Workers→Turnover, Vacancies, Layoffs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Relationship Id="rId10" Type="http://schemas.openxmlformats.org/officeDocument/2006/relationships/hyperlink" Target="https://www.ecb.europa.eu//pub/pdf/scpwps/ecb.wp2703~ce8739d3d5.en.pdf?f7d4a458d052f90cc6b6ec464be50e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