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Funding deposit insurance</w:t>
      </w:r>
    </w:p>
    <w:p>
      <w:r>
        <w:t>Author:Dick OosthuizenRyan Zalla</w:t>
      </w:r>
    </w:p>
    <w:p>
      <w:r>
        <w:t>Date:2022-08-10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From:ECB-working_paper</w:t>
      </w:r>
    </w:p>
    <w:p>
      <w:r>
        <w:t>AbstractWe present a quantitative model of deposit insurance. We characterize the policymaker’s optimal choices of coverage for depositors and premiums raised from banks. Premiums contribute to a deposit insurance fund that lowers taxpayers’ resolution cost of bank failures. We find that risk-adjusted premiums reduce moral hazard, enabling the policymaker to increase deposit insurance coverage by 3 percentage points and decrease the share of expected annual bank failures from 0.66% to 0.16%. The model predicts a fund-to-covered-deposits ratio that matches the data and declines in taxpayers’ income due to taxpayers’ risk aversion.JEL CodeG21 : Financial Economics→Financial Institutions and Services→Banks, Depository Institutions, Micro Finance Institutions, MortgagesG28 : Financial Economics→Financial Institutions and Services→Government Policy and RegulationNetworkECB Lamfalussy Fellowship Programme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Relationship Id="rId10" Type="http://schemas.openxmlformats.org/officeDocument/2006/relationships/hyperlink" Target="https://www.ecb.europa.eu//pub/pdf/scpwps/ecb.wp2704~85addf8ce6.en.pdf?738e3374d420352fa402e3f8be1099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