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division of spoils in a booming industry</w:t>
      </w:r>
    </w:p>
    <w:p>
      <w:r>
        <w:t>Author:Alexander Popov</w:t>
      </w:r>
    </w:p>
    <w:p>
      <w:r>
        <w:t>Date:2022-08-12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AbstractBetween 2000 and 2007, the gender gap in earnings in the US real estate sector increased, especially in local markets where house prices appreciated relatively more. Firm frictions and the presence of small children in the household do not explain the widening of the gender gap, while sorting on entry and gender identity in relative income do. First, the industry attracted relatively more females with no prior experience, especially in booming local housing markets. Second, labor supply increased relatively more for experienced males with at least some college education who earn less than their spouses.JEL CodeJ16 : Labor and Demographic Economics→Demographic Economics→Economics of Gender, Non-labor DiscriminationL85 : Industrial Organization→Industry Studies: Services→Real Estate ServicesO18 : Economic Development, Technological Change, and Growth→Economic Development→Urban, Rural, Regional, and Transportation Analysis, Housing,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9~161077075f.en.pdf?e1caf905f4f143a883122056ee104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