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Estimating the Euro Area output gap using multivariate information and addressing the COVID-19 pandemic</w:t>
      </w:r>
    </w:p>
    <w:p>
      <w:r>
        <w:t>Author:James MorleyDiego Rodriguez PalenzuelaYiqiao SunBenjamin Wong</w:t>
      </w:r>
    </w:p>
    <w:p>
      <w:r>
        <w:t>Date:2022-08-22</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estimate the euro area output gap by applying the Beveridge-Nelson decomposition based on a large Bayesian vector autoregression. Our approach incorporates multivariate information through the inclusion of a wide range of variables in the analysis and addresses data issues associated with the COVID-19 pandemic. The estimated output gap lines up well with the CEPR chronology of the business cycle for the euro area and we find that hours worked, more than the unemployment rate, provides the key source of information about labor utilization in the economy, especially in pinning down the depth of the output gap during the COVID-19 recession when the unemployment rate rose only moderately. Our findings suggest that labor market adjustments to the business cycle in the euro area occur more through the intensive, rather than extensive, margin.JEL CodeC18 : Mathematical and Quantitative Methods→Econometric and Statistical Methods and Methodology: General→Methodological Issues: GeneralE17 : Macroeconomics and Monetary Economics→General Aggregative Models→Forecasting and Simulation: Models and ApplicationsE32 : Macroeconomics and Monetary Economics→Prices, Business Fluctuations, and Cycles→Business Fluctuations, Cycles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6~4cdced6e1f.en.pdf?304a00c9f2410330dfe6f91a6aea2f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